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55916">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14:paraId="748BB029">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3"/>
                    <a:stretch>
                      <a:fillRect/>
                    </a:stretch>
                  </pic:blipFill>
                  <pic:spPr>
                    <a:xfrm>
                      <a:off x="0" y="0"/>
                      <a:ext cx="1696720" cy="1687195"/>
                    </a:xfrm>
                    <a:prstGeom prst="rect">
                      <a:avLst/>
                    </a:prstGeom>
                    <a:noFill/>
                    <a:ln>
                      <a:noFill/>
                    </a:ln>
                  </pic:spPr>
                </pic:pic>
              </a:graphicData>
            </a:graphic>
          </wp:anchor>
        </w:drawing>
      </w:r>
    </w:p>
    <w:p w14:paraId="2F72DF5B">
      <w:pPr>
        <w:pStyle w:val="17"/>
        <w:jc w:val="right"/>
        <w:rPr>
          <w:rFonts w:hint="eastAsia" w:asciiTheme="majorEastAsia" w:hAnsiTheme="majorEastAsia" w:eastAsiaTheme="majorEastAsia" w:cstheme="majorEastAsia"/>
          <w:bCs/>
        </w:rPr>
      </w:pPr>
    </w:p>
    <w:p w14:paraId="5A5547A3">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14:paraId="19C1D717">
      <w:pPr>
        <w:pStyle w:val="17"/>
        <w:jc w:val="center"/>
        <w:rPr>
          <w:rFonts w:hint="eastAsia" w:asciiTheme="majorEastAsia" w:hAnsiTheme="majorEastAsia" w:eastAsiaTheme="majorEastAsia" w:cstheme="majorEastAsia"/>
          <w:bCs/>
          <w:color w:val="auto"/>
          <w:lang w:eastAsia="zh-CN"/>
        </w:rPr>
      </w:pPr>
    </w:p>
    <w:p w14:paraId="155B503B">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32106"/>
      <w:bookmarkStart w:id="1" w:name="_Toc4197"/>
      <w:bookmarkStart w:id="2" w:name="_Toc30860"/>
    </w:p>
    <w:p w14:paraId="3AE6D230">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14:paraId="42FBA1A4">
      <w:pPr>
        <w:pStyle w:val="17"/>
        <w:ind w:right="960"/>
        <w:jc w:val="center"/>
        <w:rPr>
          <w:rFonts w:hint="eastAsia" w:asciiTheme="majorEastAsia" w:hAnsiTheme="majorEastAsia" w:eastAsiaTheme="majorEastAsia" w:cstheme="majorEastAsia"/>
          <w:b/>
          <w:bCs/>
          <w:color w:val="auto"/>
          <w:lang w:val="en-US" w:eastAsia="zh-CN"/>
        </w:rPr>
      </w:pPr>
    </w:p>
    <w:p w14:paraId="1A6B81F3">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bookmarkStart w:id="110" w:name="_GoBack"/>
      <w:bookmarkEnd w:id="110"/>
    </w:p>
    <w:p w14:paraId="046A7099">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14:paraId="0985764F">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4D87627E">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1EA4C18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2024年第四季度挥发性有机物检测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14:paraId="3A15140F">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山东华油万达化学有限公司</w:t>
      </w:r>
    </w:p>
    <w:p w14:paraId="31F2BBB1">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inorEastAsia" w:hAnsiTheme="minorEastAsia" w:eastAsiaTheme="minorEastAsia" w:cstheme="minorEastAsia"/>
          <w:b/>
          <w:bCs/>
          <w:color w:val="000000" w:themeColor="text1"/>
          <w:sz w:val="28"/>
          <w:szCs w:val="28"/>
          <w:u w:val="single"/>
          <w:lang w:val="en-US" w:eastAsia="zh-CN" w:bidi="ar-SA"/>
          <w14:textFill>
            <w14:solidFill>
              <w14:schemeClr w14:val="tx1"/>
            </w14:solidFill>
          </w14:textFill>
        </w:rPr>
        <w:t>山东省东营市垦利区胜坨镇政府驻地</w:t>
      </w:r>
    </w:p>
    <w:p w14:paraId="43409D66">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2024年11月05日</w:t>
      </w:r>
    </w:p>
    <w:p w14:paraId="6AC760D6">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2024年11月14日</w:t>
      </w:r>
    </w:p>
    <w:p w14:paraId="132A1754">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164106AF">
      <w:pPr>
        <w:pStyle w:val="6"/>
        <w:rPr>
          <w:rFonts w:hint="eastAsia"/>
          <w:lang w:val="en-US" w:eastAsia="zh-CN"/>
        </w:rPr>
      </w:pPr>
    </w:p>
    <w:p w14:paraId="1E64FA07">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12368"/>
      <w:bookmarkStart w:id="5" w:name="_Toc31107"/>
      <w:bookmarkStart w:id="6" w:name="_Toc1323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14:paraId="160ED3AD">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14:paraId="369D23F6">
      <w:pPr>
        <w:jc w:val="both"/>
        <w:rPr>
          <w:rFonts w:hint="eastAsia" w:asciiTheme="majorEastAsia" w:hAnsiTheme="majorEastAsia" w:eastAsiaTheme="majorEastAsia" w:cstheme="majorEastAsia"/>
          <w:b/>
          <w:bCs/>
          <w:sz w:val="21"/>
          <w:szCs w:val="21"/>
        </w:rPr>
      </w:pPr>
    </w:p>
    <w:p w14:paraId="3746FD05">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14:paraId="0E752029">
      <w:pPr>
        <w:spacing w:line="360" w:lineRule="auto"/>
        <w:ind w:firstLine="3840" w:firstLineChars="1600"/>
        <w:jc w:val="both"/>
        <w:rPr>
          <w:rFonts w:hint="eastAsia" w:asciiTheme="majorEastAsia" w:hAnsiTheme="majorEastAsia" w:eastAsiaTheme="majorEastAsia" w:cstheme="majorEastAsia"/>
          <w:bCs/>
          <w:caps/>
          <w:sz w:val="21"/>
          <w:szCs w:val="21"/>
          <w:lang w:val="en-US" w:eastAsia="zh-CN" w:bidi="ar-SA"/>
        </w:rPr>
      </w:pPr>
      <w:r>
        <w:rPr>
          <w:rFonts w:hint="eastAsia" w:asciiTheme="majorEastAsia" w:hAnsiTheme="majorEastAsia" w:eastAsiaTheme="majorEastAsia" w:cstheme="majorEastAsia"/>
          <w:b w:val="0"/>
          <w:bCs w:val="0"/>
          <w:sz w:val="24"/>
          <w:szCs w:val="24"/>
        </w:rPr>
        <w:t>目录</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TOC \o "1-3" \h \z \u </w:instrText>
      </w:r>
      <w:r>
        <w:rPr>
          <w:rFonts w:hint="eastAsia" w:asciiTheme="majorEastAsia" w:hAnsiTheme="majorEastAsia" w:eastAsiaTheme="majorEastAsia" w:cstheme="majorEastAsia"/>
          <w:sz w:val="21"/>
          <w:szCs w:val="21"/>
        </w:rPr>
        <w:fldChar w:fldCharType="separate"/>
      </w:r>
    </w:p>
    <w:p w14:paraId="45DEB28E">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_Toc28844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说明</w:t>
      </w:r>
      <w:r>
        <w:tab/>
      </w:r>
      <w:r>
        <w:fldChar w:fldCharType="begin"/>
      </w:r>
      <w:r>
        <w:instrText xml:space="preserve"> PAGEREF _Toc28844 \h </w:instrText>
      </w:r>
      <w:r>
        <w:fldChar w:fldCharType="separate"/>
      </w:r>
      <w:r>
        <w:t>1</w:t>
      </w:r>
      <w:r>
        <w:fldChar w:fldCharType="end"/>
      </w:r>
      <w:r>
        <w:rPr>
          <w:rFonts w:hint="eastAsia" w:asciiTheme="majorEastAsia" w:hAnsiTheme="majorEastAsia" w:eastAsiaTheme="majorEastAsia" w:cstheme="majorEastAsia"/>
          <w:bCs/>
          <w:caps/>
          <w:szCs w:val="21"/>
        </w:rPr>
        <w:fldChar w:fldCharType="end"/>
      </w:r>
    </w:p>
    <w:p w14:paraId="5D308C39">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_Toc31208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36"/>
          <w:lang w:val="en-US" w:eastAsia="zh-CN"/>
        </w:rPr>
        <w:t>资质证书</w:t>
      </w:r>
      <w:r>
        <w:tab/>
      </w:r>
      <w:r>
        <w:fldChar w:fldCharType="begin"/>
      </w:r>
      <w:r>
        <w:instrText xml:space="preserve"> PAGEREF _Toc31208 \h </w:instrText>
      </w:r>
      <w:r>
        <w:fldChar w:fldCharType="separate"/>
      </w:r>
      <w:r>
        <w:t>2</w:t>
      </w:r>
      <w:r>
        <w:fldChar w:fldCharType="end"/>
      </w:r>
      <w:r>
        <w:rPr>
          <w:rFonts w:hint="eastAsia" w:asciiTheme="majorEastAsia" w:hAnsiTheme="majorEastAsia" w:eastAsiaTheme="majorEastAsia" w:cstheme="majorEastAsia"/>
          <w:bCs/>
          <w:caps/>
          <w:szCs w:val="21"/>
        </w:rPr>
        <w:fldChar w:fldCharType="end"/>
      </w:r>
    </w:p>
    <w:p w14:paraId="65AB6275">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_Toc30700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本报告规范性引用文件</w:t>
      </w:r>
      <w:r>
        <w:tab/>
      </w:r>
      <w:r>
        <w:fldChar w:fldCharType="begin"/>
      </w:r>
      <w:r>
        <w:instrText xml:space="preserve"> PAGEREF _Toc30700 \h </w:instrText>
      </w:r>
      <w:r>
        <w:fldChar w:fldCharType="separate"/>
      </w:r>
      <w:r>
        <w:t>3</w:t>
      </w:r>
      <w:r>
        <w:fldChar w:fldCharType="end"/>
      </w:r>
      <w:r>
        <w:rPr>
          <w:rFonts w:hint="eastAsia" w:asciiTheme="majorEastAsia" w:hAnsiTheme="majorEastAsia" w:eastAsiaTheme="majorEastAsia" w:cstheme="majorEastAsia"/>
          <w:bCs/>
          <w:caps/>
          <w:szCs w:val="21"/>
        </w:rPr>
        <w:fldChar w:fldCharType="end"/>
      </w:r>
    </w:p>
    <w:p w14:paraId="643D2A0D">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_Toc29032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1. 挥发性有机物（VOC</w:t>
      </w:r>
      <w:r>
        <w:rPr>
          <w:rFonts w:hint="eastAsia" w:asciiTheme="majorEastAsia" w:hAnsiTheme="majorEastAsia" w:eastAsiaTheme="majorEastAsia" w:cstheme="majorEastAsia"/>
          <w:bCs/>
          <w:szCs w:val="21"/>
          <w:lang w:val="en-US" w:eastAsia="zh-CN"/>
        </w:rPr>
        <w:t>s</w:t>
      </w:r>
      <w:r>
        <w:rPr>
          <w:rFonts w:hint="eastAsia" w:asciiTheme="majorEastAsia" w:hAnsiTheme="majorEastAsia" w:eastAsiaTheme="majorEastAsia" w:cstheme="majorEastAsia"/>
          <w:lang w:val="en-US" w:eastAsia="zh-CN"/>
        </w:rPr>
        <w:t>）检测结果报告单</w:t>
      </w:r>
      <w:r>
        <w:tab/>
      </w:r>
      <w:r>
        <w:fldChar w:fldCharType="begin"/>
      </w:r>
      <w:r>
        <w:instrText xml:space="preserve"> PAGEREF _Toc29032 \h </w:instrText>
      </w:r>
      <w:r>
        <w:fldChar w:fldCharType="separate"/>
      </w:r>
      <w:r>
        <w:t>4</w:t>
      </w:r>
      <w:r>
        <w:fldChar w:fldCharType="end"/>
      </w:r>
      <w:r>
        <w:rPr>
          <w:rFonts w:hint="eastAsia" w:asciiTheme="majorEastAsia" w:hAnsiTheme="majorEastAsia" w:eastAsiaTheme="majorEastAsia" w:cstheme="majorEastAsia"/>
          <w:bCs/>
          <w:caps/>
          <w:szCs w:val="21"/>
        </w:rPr>
        <w:fldChar w:fldCharType="end"/>
      </w:r>
    </w:p>
    <w:p w14:paraId="2940EB5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_Toc10318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1.1</w:t>
      </w:r>
      <w:r>
        <w:rPr>
          <w:rFonts w:hint="eastAsia" w:asciiTheme="majorEastAsia" w:hAnsiTheme="majorEastAsia" w:eastAsiaTheme="majorEastAsia" w:cstheme="majorEastAsia"/>
          <w:szCs w:val="28"/>
        </w:rPr>
        <w:t>企业名称、性质、地址</w:t>
      </w:r>
      <w:r>
        <w:rPr>
          <w:rFonts w:hint="eastAsia" w:asciiTheme="majorEastAsia" w:hAnsiTheme="majorEastAsia" w:eastAsiaTheme="majorEastAsia" w:cstheme="majorEastAsia"/>
          <w:szCs w:val="28"/>
          <w:lang w:eastAsia="zh-CN"/>
        </w:rPr>
        <w:t>、</w:t>
      </w:r>
      <w:r>
        <w:rPr>
          <w:rFonts w:hint="eastAsia" w:asciiTheme="majorEastAsia" w:hAnsiTheme="majorEastAsia" w:eastAsiaTheme="majorEastAsia" w:cstheme="majorEastAsia"/>
          <w:szCs w:val="28"/>
          <w:lang w:val="en-US" w:eastAsia="zh-CN"/>
        </w:rPr>
        <w:t>组织架构</w:t>
      </w:r>
      <w:r>
        <w:tab/>
      </w:r>
      <w:r>
        <w:fldChar w:fldCharType="begin"/>
      </w:r>
      <w:r>
        <w:instrText xml:space="preserve"> PAGEREF _Toc10318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37734408">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_Toc24505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1.2企业简介</w:t>
      </w:r>
      <w:r>
        <w:tab/>
      </w:r>
      <w:r>
        <w:fldChar w:fldCharType="begin"/>
      </w:r>
      <w:r>
        <w:instrText xml:space="preserve"> PAGEREF _Toc24505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03A7D5F8">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_Toc4754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1.3开展 LDAR 基本情况</w:t>
      </w:r>
      <w:r>
        <w:tab/>
      </w:r>
      <w:r>
        <w:fldChar w:fldCharType="begin"/>
      </w:r>
      <w:r>
        <w:instrText xml:space="preserve"> PAGEREF _Toc4754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5EC48E84">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_Toc26218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2.项目建立</w:t>
      </w:r>
      <w:r>
        <w:tab/>
      </w:r>
      <w:r>
        <w:fldChar w:fldCharType="begin"/>
      </w:r>
      <w:r>
        <w:instrText xml:space="preserve"> PAGEREF _Toc26218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787B5916">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_Toc32428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2.1项目组筹建</w:t>
      </w:r>
      <w:r>
        <w:tab/>
      </w:r>
      <w:r>
        <w:fldChar w:fldCharType="begin"/>
      </w:r>
      <w:r>
        <w:instrText xml:space="preserve"> PAGEREF _Toc32428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14:paraId="27E036E7">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_Toc12212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2.2密封点建档</w:t>
      </w:r>
      <w:r>
        <w:tab/>
      </w:r>
      <w:r>
        <w:fldChar w:fldCharType="begin"/>
      </w:r>
      <w:r>
        <w:instrText xml:space="preserve"> PAGEREF _Toc12212 \h </w:instrText>
      </w:r>
      <w:r>
        <w:fldChar w:fldCharType="separate"/>
      </w:r>
      <w:r>
        <w:t>6</w:t>
      </w:r>
      <w:r>
        <w:fldChar w:fldCharType="end"/>
      </w:r>
      <w:r>
        <w:rPr>
          <w:rFonts w:hint="eastAsia" w:asciiTheme="majorEastAsia" w:hAnsiTheme="majorEastAsia" w:eastAsiaTheme="majorEastAsia" w:cstheme="majorEastAsia"/>
          <w:bCs/>
          <w:caps/>
          <w:szCs w:val="21"/>
        </w:rPr>
        <w:fldChar w:fldCharType="end"/>
      </w:r>
    </w:p>
    <w:p w14:paraId="2E997697">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_Toc20389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val="0"/>
          <w:szCs w:val="21"/>
        </w:rPr>
        <w:t>检测密封点识别及编号流程</w:t>
      </w:r>
      <w:r>
        <w:tab/>
      </w:r>
      <w:r>
        <w:fldChar w:fldCharType="begin"/>
      </w:r>
      <w:r>
        <w:instrText xml:space="preserve"> PAGEREF _Toc20389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17C0CEE5">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_Toc13672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2.3装置适合性分析</w:t>
      </w:r>
      <w:r>
        <w:tab/>
      </w:r>
      <w:r>
        <w:fldChar w:fldCharType="begin"/>
      </w:r>
      <w:r>
        <w:instrText xml:space="preserve"> PAGEREF _Toc13672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14:paraId="5448E0EA">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_Toc22342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2.4物料状态分析表</w:t>
      </w:r>
      <w:r>
        <w:tab/>
      </w:r>
      <w:r>
        <w:fldChar w:fldCharType="begin"/>
      </w:r>
      <w:r>
        <w:instrText xml:space="preserve"> PAGEREF _Toc22342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0C46333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_Toc19559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2.5受控装置分析清单</w:t>
      </w:r>
      <w:r>
        <w:tab/>
      </w:r>
      <w:r>
        <w:fldChar w:fldCharType="begin"/>
      </w:r>
      <w:r>
        <w:instrText xml:space="preserve"> PAGEREF _Toc19559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0F5B4B9A">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_Toc8263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2.6装置适合性分析</w:t>
      </w:r>
      <w:r>
        <w:tab/>
      </w:r>
      <w:r>
        <w:fldChar w:fldCharType="begin"/>
      </w:r>
      <w:r>
        <w:instrText xml:space="preserve"> PAGEREF _Toc8263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14:paraId="0B246A59">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2.7响应因子分析</w:t>
      </w:r>
      <w:r>
        <w:tab/>
      </w:r>
      <w:r>
        <w:fldChar w:fldCharType="begin"/>
      </w:r>
      <w:r>
        <w:instrText xml:space="preserve"> PAGEREF _Toc147 \h </w:instrText>
      </w:r>
      <w:r>
        <w:fldChar w:fldCharType="separate"/>
      </w:r>
      <w:r>
        <w:t>9</w:t>
      </w:r>
      <w:r>
        <w:fldChar w:fldCharType="end"/>
      </w:r>
      <w:r>
        <w:rPr>
          <w:rFonts w:hint="eastAsia" w:asciiTheme="majorEastAsia" w:hAnsiTheme="majorEastAsia" w:eastAsiaTheme="majorEastAsia" w:cstheme="majorEastAsia"/>
          <w:bCs/>
          <w:caps/>
          <w:szCs w:val="21"/>
        </w:rPr>
        <w:fldChar w:fldCharType="end"/>
      </w:r>
    </w:p>
    <w:p w14:paraId="33B458CD">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_Toc10973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 现场</w:t>
      </w:r>
      <w:r>
        <w:rPr>
          <w:rFonts w:hint="eastAsia" w:asciiTheme="majorEastAsia" w:hAnsiTheme="majorEastAsia" w:eastAsiaTheme="majorEastAsia" w:cstheme="majorEastAsia"/>
        </w:rPr>
        <w:t>检测</w:t>
      </w:r>
      <w:r>
        <w:tab/>
      </w:r>
      <w:r>
        <w:fldChar w:fldCharType="begin"/>
      </w:r>
      <w:r>
        <w:instrText xml:space="preserve"> PAGEREF _Toc10973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47556A97">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_Toc28063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3.1检测设备及辅助设备</w:t>
      </w:r>
      <w:r>
        <w:tab/>
      </w:r>
      <w:r>
        <w:fldChar w:fldCharType="begin"/>
      </w:r>
      <w:r>
        <w:instrText xml:space="preserve"> PAGEREF _Toc28063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14:paraId="17F1E8B6">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_Toc14049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r>
        <w:tab/>
      </w:r>
      <w:r>
        <w:fldChar w:fldCharType="begin"/>
      </w:r>
      <w:r>
        <w:instrText xml:space="preserve"> PAGEREF _Toc14049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5827DE5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_Toc25398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3.3 现场检测记录</w:t>
      </w:r>
      <w:r>
        <w:tab/>
      </w:r>
      <w:r>
        <w:fldChar w:fldCharType="begin"/>
      </w:r>
      <w:r>
        <w:instrText xml:space="preserve"> PAGEREF _Toc25398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211A7A52">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_Toc20441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3.4现场检测情况录入企业LDAR软件管理系统</w:t>
      </w:r>
      <w:r>
        <w:tab/>
      </w:r>
      <w:r>
        <w:fldChar w:fldCharType="begin"/>
      </w:r>
      <w:r>
        <w:instrText xml:space="preserve"> PAGEREF _Toc20441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1FDC10C8">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_Toc22330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lang w:val="en-US" w:eastAsia="zh-CN"/>
        </w:rPr>
        <w:t>4.泄漏检测</w:t>
      </w:r>
      <w:r>
        <w:tab/>
      </w:r>
      <w:r>
        <w:fldChar w:fldCharType="begin"/>
      </w:r>
      <w:r>
        <w:instrText xml:space="preserve"> PAGEREF _Toc22330 \h </w:instrText>
      </w:r>
      <w:r>
        <w:fldChar w:fldCharType="separate"/>
      </w:r>
      <w:r>
        <w:t>12</w:t>
      </w:r>
      <w:r>
        <w:fldChar w:fldCharType="end"/>
      </w:r>
      <w:r>
        <w:rPr>
          <w:rFonts w:hint="eastAsia" w:asciiTheme="majorEastAsia" w:hAnsiTheme="majorEastAsia" w:eastAsiaTheme="majorEastAsia" w:cstheme="majorEastAsia"/>
          <w:bCs/>
          <w:caps/>
          <w:szCs w:val="21"/>
        </w:rPr>
        <w:fldChar w:fldCharType="end"/>
      </w:r>
    </w:p>
    <w:p w14:paraId="21E57A88">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_Toc12975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r>
        <w:tab/>
      </w:r>
      <w:r>
        <w:fldChar w:fldCharType="begin"/>
      </w:r>
      <w:r>
        <w:instrText xml:space="preserve"> PAGEREF _Toc12975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280ACC7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_Toc32564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r>
        <w:tab/>
      </w:r>
      <w:r>
        <w:fldChar w:fldCharType="begin"/>
      </w:r>
      <w:r>
        <w:instrText xml:space="preserve"> PAGEREF _Toc32564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66252F88">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_Toc8679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泄漏点维修规定</w:t>
      </w:r>
      <w:r>
        <w:tab/>
      </w:r>
      <w:r>
        <w:fldChar w:fldCharType="begin"/>
      </w:r>
      <w:r>
        <w:instrText xml:space="preserve"> PAGEREF _Toc8679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14:paraId="4E6731BD">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_Toc29239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4.3排放量、泄漏量统计</w:t>
      </w:r>
      <w:r>
        <w:tab/>
      </w:r>
      <w:r>
        <w:fldChar w:fldCharType="begin"/>
      </w:r>
      <w:r>
        <w:instrText xml:space="preserve"> PAGEREF _Toc29239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14:paraId="5D97A18E">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_Toc9343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4.4开展 LDAR 环境效益分析，实施 LDAR 后的效益</w:t>
      </w:r>
      <w:r>
        <w:tab/>
      </w:r>
      <w:r>
        <w:fldChar w:fldCharType="begin"/>
      </w:r>
      <w:r>
        <w:instrText xml:space="preserve"> PAGEREF _Toc9343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14:paraId="032A037A">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_Toc32434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5.持续LDAR</w:t>
      </w:r>
      <w:r>
        <w:tab/>
      </w:r>
      <w:r>
        <w:fldChar w:fldCharType="begin"/>
      </w:r>
      <w:r>
        <w:instrText xml:space="preserve"> PAGEREF _Toc32434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0F79D3EE">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_Toc19686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5.1 LDAR环境和经济效益</w:t>
      </w:r>
      <w:r>
        <w:tab/>
      </w:r>
      <w:r>
        <w:fldChar w:fldCharType="begin"/>
      </w:r>
      <w:r>
        <w:instrText xml:space="preserve"> PAGEREF _Toc19686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02CD1A6A">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_Toc31759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5.2下季度LDAR工作计划</w:t>
      </w:r>
      <w:r>
        <w:tab/>
      </w:r>
      <w:r>
        <w:fldChar w:fldCharType="begin"/>
      </w:r>
      <w:r>
        <w:instrText xml:space="preserve"> PAGEREF _Toc31759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14:paraId="17F9F9D2">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_Toc20661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附表</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bCs/>
          <w:caps w:val="0"/>
          <w:spacing w:val="0"/>
          <w:kern w:val="2"/>
          <w:szCs w:val="28"/>
          <w:lang w:val="en-US" w:eastAsia="zh-CN" w:bidi="en-US"/>
        </w:rPr>
        <w:t xml:space="preserve"> 山东华油万达化学有限公司2024年第四季度LDAR汇总表</w:t>
      </w:r>
      <w:r>
        <w:tab/>
      </w:r>
      <w:r>
        <w:fldChar w:fldCharType="begin"/>
      </w:r>
      <w:r>
        <w:instrText xml:space="preserve"> PAGEREF _Toc20661 \h </w:instrText>
      </w:r>
      <w:r>
        <w:fldChar w:fldCharType="separate"/>
      </w:r>
      <w:r>
        <w:t>17</w:t>
      </w:r>
      <w:r>
        <w:fldChar w:fldCharType="end"/>
      </w:r>
      <w:r>
        <w:rPr>
          <w:rFonts w:hint="eastAsia" w:asciiTheme="majorEastAsia" w:hAnsiTheme="majorEastAsia" w:eastAsiaTheme="majorEastAsia" w:cstheme="majorEastAsia"/>
          <w:bCs/>
          <w:caps/>
          <w:szCs w:val="21"/>
        </w:rPr>
        <w:fldChar w:fldCharType="end"/>
      </w:r>
    </w:p>
    <w:p w14:paraId="3680EFAA">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_Toc24081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 山东华油万达化学有限公司</w:t>
      </w:r>
      <w:r>
        <w:rPr>
          <w:rFonts w:hint="eastAsia" w:asciiTheme="minorEastAsia" w:hAnsiTheme="minorEastAsia" w:eastAsiaTheme="minorEastAsia" w:cstheme="minorEastAsia"/>
          <w:szCs w:val="21"/>
          <w:lang w:val="en-US" w:eastAsia="zh-CN"/>
        </w:rPr>
        <w:t>PAM水合工序</w:t>
      </w:r>
      <w:r>
        <w:rPr>
          <w:rFonts w:hint="eastAsia" w:asciiTheme="majorEastAsia" w:hAnsiTheme="majorEastAsia" w:eastAsiaTheme="majorEastAsia" w:cstheme="majorEastAsia"/>
          <w:szCs w:val="21"/>
          <w:lang w:val="en-US" w:eastAsia="zh-CN"/>
        </w:rPr>
        <w:t>LDAR 2024年第四轮统计表</w:t>
      </w:r>
      <w:r>
        <w:tab/>
      </w:r>
      <w:r>
        <w:fldChar w:fldCharType="begin"/>
      </w:r>
      <w:r>
        <w:instrText xml:space="preserve"> PAGEREF _Toc24081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14:paraId="6BFCCDE1">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_Toc16132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表6.2 山东华油万达化学有限公司</w:t>
      </w:r>
      <w:r>
        <w:rPr>
          <w:rFonts w:hint="eastAsia" w:asciiTheme="minorEastAsia" w:hAnsiTheme="minorEastAsia" w:eastAsiaTheme="minorEastAsia" w:cstheme="minorEastAsia"/>
          <w:szCs w:val="21"/>
          <w:lang w:val="en-US" w:eastAsia="zh-CN"/>
        </w:rPr>
        <w:t>储运装置</w:t>
      </w:r>
      <w:r>
        <w:rPr>
          <w:rFonts w:hint="eastAsia" w:asciiTheme="majorEastAsia" w:hAnsiTheme="majorEastAsia" w:eastAsiaTheme="majorEastAsia" w:cstheme="majorEastAsia"/>
          <w:szCs w:val="21"/>
          <w:lang w:val="en-US" w:eastAsia="zh-CN"/>
        </w:rPr>
        <w:t>LDAR 2024年第四轮统计表</w:t>
      </w:r>
      <w:r>
        <w:tab/>
      </w:r>
      <w:r>
        <w:fldChar w:fldCharType="begin"/>
      </w:r>
      <w:r>
        <w:instrText xml:space="preserve"> PAGEREF _Toc16132 \h </w:instrText>
      </w:r>
      <w:r>
        <w:fldChar w:fldCharType="separate"/>
      </w:r>
      <w:r>
        <w:t>19</w:t>
      </w:r>
      <w:r>
        <w:fldChar w:fldCharType="end"/>
      </w:r>
      <w:r>
        <w:rPr>
          <w:rFonts w:hint="eastAsia" w:asciiTheme="majorEastAsia" w:hAnsiTheme="majorEastAsia" w:eastAsiaTheme="majorEastAsia" w:cstheme="majorEastAsia"/>
          <w:bCs/>
          <w:caps/>
          <w:szCs w:val="21"/>
        </w:rPr>
        <w:fldChar w:fldCharType="end"/>
      </w:r>
    </w:p>
    <w:p w14:paraId="5ACCA8F1">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_Toc16456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 xml:space="preserve">表6.3 </w:t>
      </w:r>
      <w:r>
        <w:rPr>
          <w:rFonts w:hint="eastAsia" w:asciiTheme="majorEastAsia" w:hAnsiTheme="majorEastAsia" w:eastAsiaTheme="majorEastAsia" w:cstheme="majorEastAsia"/>
          <w:bCs/>
          <w:szCs w:val="21"/>
          <w:lang w:val="en-US" w:eastAsia="zh-CN"/>
        </w:rPr>
        <w:t>山东华油万达化学有限公司</w:t>
      </w:r>
      <w:r>
        <w:rPr>
          <w:rFonts w:hint="eastAsia" w:asciiTheme="majorEastAsia" w:hAnsiTheme="majorEastAsia" w:eastAsiaTheme="majorEastAsia" w:cstheme="majorEastAsia"/>
          <w:szCs w:val="21"/>
          <w:lang w:val="en-US" w:eastAsia="zh-CN"/>
        </w:rPr>
        <w:t>2024年第四季度LDAR普查表</w:t>
      </w:r>
      <w:r>
        <w:tab/>
      </w:r>
      <w:r>
        <w:fldChar w:fldCharType="begin"/>
      </w:r>
      <w:r>
        <w:instrText xml:space="preserve"> PAGEREF _Toc16456 \h </w:instrText>
      </w:r>
      <w:r>
        <w:fldChar w:fldCharType="separate"/>
      </w:r>
      <w:r>
        <w:t>20</w:t>
      </w:r>
      <w:r>
        <w:fldChar w:fldCharType="end"/>
      </w:r>
      <w:r>
        <w:rPr>
          <w:rFonts w:hint="eastAsia" w:asciiTheme="majorEastAsia" w:hAnsiTheme="majorEastAsia" w:eastAsiaTheme="majorEastAsia" w:cstheme="majorEastAsia"/>
          <w:bCs/>
          <w:caps/>
          <w:szCs w:val="21"/>
        </w:rPr>
        <w:fldChar w:fldCharType="end"/>
      </w:r>
    </w:p>
    <w:p w14:paraId="3DF8EE9C">
      <w:pPr>
        <w:pStyle w:val="11"/>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_Toc21139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表6.4  山东华油万达化学有限公司2024年第四季度泄漏点复检表</w:t>
      </w:r>
      <w:r>
        <w:tab/>
      </w:r>
      <w:r>
        <w:fldChar w:fldCharType="begin"/>
      </w:r>
      <w:r>
        <w:instrText xml:space="preserve"> PAGEREF _Toc21139 \h </w:instrText>
      </w:r>
      <w:r>
        <w:fldChar w:fldCharType="separate"/>
      </w:r>
      <w:r>
        <w:t>21</w:t>
      </w:r>
      <w:r>
        <w:fldChar w:fldCharType="end"/>
      </w:r>
      <w:r>
        <w:rPr>
          <w:rFonts w:hint="eastAsia" w:asciiTheme="majorEastAsia" w:hAnsiTheme="majorEastAsia" w:eastAsiaTheme="majorEastAsia" w:cstheme="majorEastAsia"/>
          <w:bCs/>
          <w:caps/>
          <w:szCs w:val="21"/>
        </w:rPr>
        <w:fldChar w:fldCharType="end"/>
      </w:r>
    </w:p>
    <w:p w14:paraId="42BCA312">
      <w:pPr>
        <w:pStyle w:val="17"/>
        <w:spacing w:line="360" w:lineRule="auto"/>
        <w:ind w:firstLine="3570" w:firstLineChars="1700"/>
        <w:jc w:val="left"/>
        <w:rPr>
          <w:rFonts w:hint="eastAsia" w:asciiTheme="majorEastAsia" w:hAnsiTheme="majorEastAsia" w:eastAsiaTheme="majorEastAsia" w:cstheme="majorEastAsia"/>
          <w:b/>
          <w:bCs/>
          <w:color w:val="000000"/>
          <w:sz w:val="21"/>
          <w:szCs w:val="21"/>
        </w:rPr>
        <w:sectPr>
          <w:footerReference r:id="rId7" w:type="firs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ajorEastAsia" w:hAnsiTheme="majorEastAsia" w:eastAsiaTheme="majorEastAsia" w:cstheme="majorEastAsia"/>
          <w:bCs/>
          <w:caps/>
          <w:sz w:val="21"/>
          <w:szCs w:val="21"/>
        </w:rPr>
        <w:fldChar w:fldCharType="end"/>
      </w:r>
    </w:p>
    <w:p w14:paraId="01B8F1F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4215"/>
      <w:bookmarkStart w:id="8" w:name="_Toc28844"/>
      <w:r>
        <w:rPr>
          <w:rFonts w:hint="eastAsia" w:asciiTheme="majorEastAsia" w:hAnsiTheme="majorEastAsia" w:eastAsiaTheme="majorEastAsia" w:cstheme="majorEastAsia"/>
          <w:color w:val="auto"/>
          <w:lang w:val="en-US" w:eastAsia="zh-CN"/>
        </w:rPr>
        <w:t>说明</w:t>
      </w:r>
      <w:bookmarkEnd w:id="7"/>
      <w:bookmarkEnd w:id="8"/>
    </w:p>
    <w:p w14:paraId="445A2ED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14:paraId="2DCFDB3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14:paraId="2A7BAB58">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14:paraId="6E5A0F0B">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14:paraId="3C597C3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14:paraId="266C51EB">
      <w:pPr>
        <w:ind w:left="480"/>
        <w:rPr>
          <w:rFonts w:hint="eastAsia" w:asciiTheme="majorEastAsia" w:hAnsiTheme="majorEastAsia" w:eastAsiaTheme="majorEastAsia" w:cstheme="majorEastAsia"/>
          <w:sz w:val="21"/>
          <w:szCs w:val="21"/>
        </w:rPr>
      </w:pPr>
    </w:p>
    <w:p w14:paraId="4E718740">
      <w:pPr>
        <w:spacing w:line="480" w:lineRule="auto"/>
        <w:rPr>
          <w:rFonts w:hint="eastAsia" w:asciiTheme="majorEastAsia" w:hAnsiTheme="majorEastAsia" w:eastAsiaTheme="majorEastAsia" w:cstheme="majorEastAsia"/>
          <w:sz w:val="21"/>
          <w:szCs w:val="21"/>
        </w:rPr>
      </w:pPr>
    </w:p>
    <w:p w14:paraId="38B1375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14:paraId="6FAC6D86">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山东省东营市开发区东六路25号1幢</w:t>
      </w:r>
    </w:p>
    <w:p w14:paraId="238D286B">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14:paraId="72D8B384">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14:paraId="463831A2">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14:paraId="33DAD481">
      <w:pPr>
        <w:rPr>
          <w:rFonts w:hint="eastAsia" w:asciiTheme="majorEastAsia" w:hAnsiTheme="majorEastAsia" w:eastAsiaTheme="majorEastAsia" w:cstheme="majorEastAsia"/>
          <w:color w:val="auto"/>
          <w:sz w:val="36"/>
          <w:szCs w:val="36"/>
          <w:lang w:val="en-US" w:eastAsia="zh-CN"/>
        </w:rPr>
      </w:pPr>
    </w:p>
    <w:p w14:paraId="7F7290F8">
      <w:pPr>
        <w:pStyle w:val="6"/>
        <w:rPr>
          <w:rFonts w:hint="eastAsia" w:asciiTheme="majorEastAsia" w:hAnsiTheme="majorEastAsia" w:eastAsiaTheme="majorEastAsia" w:cstheme="majorEastAsia"/>
          <w:color w:val="auto"/>
          <w:sz w:val="36"/>
          <w:szCs w:val="36"/>
          <w:lang w:val="en-US" w:eastAsia="zh-CN"/>
        </w:rPr>
      </w:pPr>
    </w:p>
    <w:p w14:paraId="22BD681C">
      <w:pPr>
        <w:pStyle w:val="6"/>
        <w:rPr>
          <w:rFonts w:hint="eastAsia" w:asciiTheme="majorEastAsia" w:hAnsiTheme="majorEastAsia" w:eastAsiaTheme="majorEastAsia" w:cstheme="majorEastAsia"/>
          <w:color w:val="auto"/>
          <w:sz w:val="36"/>
          <w:szCs w:val="36"/>
          <w:lang w:val="en-US" w:eastAsia="zh-CN"/>
        </w:rPr>
      </w:pPr>
    </w:p>
    <w:p w14:paraId="42614F3E">
      <w:pPr>
        <w:pStyle w:val="6"/>
        <w:rPr>
          <w:rFonts w:hint="eastAsia" w:asciiTheme="majorEastAsia" w:hAnsiTheme="majorEastAsia" w:eastAsiaTheme="majorEastAsia" w:cstheme="majorEastAsia"/>
          <w:color w:val="auto"/>
          <w:sz w:val="36"/>
          <w:szCs w:val="36"/>
          <w:lang w:val="en-US" w:eastAsia="zh-CN"/>
        </w:rPr>
      </w:pPr>
    </w:p>
    <w:p w14:paraId="3123723D">
      <w:pPr>
        <w:pStyle w:val="6"/>
        <w:rPr>
          <w:rFonts w:hint="eastAsia" w:asciiTheme="majorEastAsia" w:hAnsiTheme="majorEastAsia" w:eastAsiaTheme="majorEastAsia" w:cstheme="majorEastAsia"/>
          <w:color w:val="auto"/>
          <w:sz w:val="36"/>
          <w:szCs w:val="36"/>
          <w:lang w:val="en-US" w:eastAsia="zh-CN"/>
        </w:rPr>
      </w:pPr>
    </w:p>
    <w:p w14:paraId="0D5CD953">
      <w:pPr>
        <w:pStyle w:val="6"/>
        <w:rPr>
          <w:rFonts w:hint="eastAsia" w:asciiTheme="majorEastAsia" w:hAnsiTheme="majorEastAsia" w:eastAsiaTheme="majorEastAsia" w:cstheme="majorEastAsia"/>
          <w:color w:val="auto"/>
          <w:sz w:val="36"/>
          <w:szCs w:val="36"/>
          <w:lang w:val="en-US" w:eastAsia="zh-CN"/>
        </w:rPr>
      </w:pPr>
    </w:p>
    <w:p w14:paraId="267F7D57">
      <w:pPr>
        <w:pStyle w:val="6"/>
        <w:rPr>
          <w:rFonts w:hint="eastAsia" w:asciiTheme="majorEastAsia" w:hAnsiTheme="majorEastAsia" w:eastAsiaTheme="majorEastAsia" w:cstheme="majorEastAsia"/>
          <w:color w:val="auto"/>
          <w:sz w:val="36"/>
          <w:szCs w:val="36"/>
          <w:lang w:val="en-US" w:eastAsia="zh-CN"/>
        </w:rPr>
      </w:pPr>
    </w:p>
    <w:p w14:paraId="2E1BFE7F">
      <w:pPr>
        <w:pStyle w:val="6"/>
        <w:rPr>
          <w:rFonts w:hint="eastAsia" w:asciiTheme="majorEastAsia" w:hAnsiTheme="majorEastAsia" w:eastAsiaTheme="majorEastAsia" w:cstheme="majorEastAsia"/>
          <w:color w:val="auto"/>
          <w:sz w:val="36"/>
          <w:szCs w:val="36"/>
          <w:lang w:val="en-US" w:eastAsia="zh-CN"/>
        </w:rPr>
      </w:pPr>
    </w:p>
    <w:p w14:paraId="62ADD766">
      <w:pPr>
        <w:pStyle w:val="6"/>
        <w:rPr>
          <w:rFonts w:hint="eastAsia" w:asciiTheme="majorEastAsia" w:hAnsiTheme="majorEastAsia" w:eastAsiaTheme="majorEastAsia" w:cstheme="majorEastAsia"/>
          <w:color w:val="auto"/>
          <w:sz w:val="36"/>
          <w:szCs w:val="36"/>
          <w:lang w:val="en-US" w:eastAsia="zh-CN"/>
        </w:rPr>
      </w:pPr>
    </w:p>
    <w:p w14:paraId="1AB5D728">
      <w:pPr>
        <w:pStyle w:val="6"/>
        <w:rPr>
          <w:rFonts w:hint="eastAsia" w:asciiTheme="majorEastAsia" w:hAnsiTheme="majorEastAsia" w:eastAsiaTheme="majorEastAsia" w:cstheme="majorEastAsia"/>
          <w:color w:val="auto"/>
          <w:sz w:val="36"/>
          <w:szCs w:val="36"/>
          <w:lang w:val="en-US" w:eastAsia="zh-CN"/>
        </w:rPr>
      </w:pPr>
    </w:p>
    <w:p w14:paraId="3CCFCAD3">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17850"/>
      <w:bookmarkStart w:id="10" w:name="_Toc5904"/>
      <w:bookmarkStart w:id="11" w:name="_Toc31208"/>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14:paraId="7DEC1BE8">
      <w:pPr>
        <w:bidi w:val="0"/>
        <w:jc w:val="center"/>
        <w:rPr>
          <w:rFonts w:hint="eastAsia"/>
          <w:lang w:val="en-US" w:eastAsia="zh-CN"/>
        </w:rPr>
        <w:sectPr>
          <w:headerReference r:id="rId8" w:type="default"/>
          <w:footerReference r:id="rId9"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bookmarkStart w:id="13" w:name="_Toc27027"/>
      <w:r>
        <w:rPr>
          <w:rFonts w:hint="eastAsia"/>
          <w:lang w:val="en-US" w:eastAsia="zh-CN"/>
        </w:rPr>
        <w:drawing>
          <wp:inline distT="0" distB="0" distL="114300" distR="114300">
            <wp:extent cx="5400040" cy="6480175"/>
            <wp:effectExtent l="0" t="0" r="10160" b="15875"/>
            <wp:docPr id="7" name="图片 7" descr="泓启CMA资质"/>
            <wp:cNvGraphicFramePr/>
            <a:graphic xmlns:a="http://schemas.openxmlformats.org/drawingml/2006/main">
              <a:graphicData uri="http://schemas.openxmlformats.org/drawingml/2006/picture">
                <pic:pic xmlns:pic="http://schemas.openxmlformats.org/drawingml/2006/picture">
                  <pic:nvPicPr>
                    <pic:cNvPr id="7" name="图片 7" descr="泓启CMA资质"/>
                    <pic:cNvPicPr/>
                  </pic:nvPicPr>
                  <pic:blipFill>
                    <a:blip r:embed="rId14"/>
                    <a:stretch>
                      <a:fillRect/>
                    </a:stretch>
                  </pic:blipFill>
                  <pic:spPr>
                    <a:xfrm>
                      <a:off x="0" y="0"/>
                      <a:ext cx="5400040" cy="6480175"/>
                    </a:xfrm>
                    <a:prstGeom prst="rect">
                      <a:avLst/>
                    </a:prstGeom>
                  </pic:spPr>
                </pic:pic>
              </a:graphicData>
            </a:graphic>
          </wp:inline>
        </w:drawing>
      </w:r>
    </w:p>
    <w:p w14:paraId="52DA4DDD">
      <w:pPr>
        <w:rPr>
          <w:rFonts w:hint="eastAsia" w:asciiTheme="majorEastAsia" w:hAnsiTheme="majorEastAsia" w:eastAsiaTheme="majorEastAsia" w:cstheme="majorEastAsia"/>
          <w:lang w:val="en-US" w:eastAsia="zh-CN"/>
        </w:rPr>
      </w:pPr>
    </w:p>
    <w:p w14:paraId="66FC1228">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12519"/>
      <w:bookmarkStart w:id="15" w:name="_Toc30700"/>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14:paraId="448222F4">
      <w:pPr>
        <w:pStyle w:val="6"/>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14:paraId="7463E7C4">
      <w:pPr>
        <w:pStyle w:val="6"/>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14:paraId="2038D14A">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14:paraId="383B90F1">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14:paraId="21AF8F6E">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14:paraId="5139CFFC">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14:paraId="698B7369">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14:paraId="19CB9EE6">
      <w:pPr>
        <w:pStyle w:val="6"/>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14:paraId="769A3980">
      <w:pPr>
        <w:pStyle w:val="6"/>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14:paraId="5149D9DE">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14:paraId="08DA7472">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14:paraId="75D389E8">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14:paraId="6679962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14:paraId="5EE77F7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14:paraId="3FB690F0">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4AF12FD">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14:paraId="786C46D5">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14:paraId="4E9A6B0F">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14:paraId="42DFF7A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38BAE5BB">
      <w:pPr>
        <w:pStyle w:val="6"/>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14:paraId="1146C4C3">
      <w:pPr>
        <w:rPr>
          <w:rFonts w:hint="eastAsia" w:asciiTheme="majorEastAsia" w:hAnsiTheme="majorEastAsia" w:eastAsiaTheme="majorEastAsia" w:cstheme="majorEastAsia"/>
          <w:lang w:val="zh-CN"/>
        </w:rPr>
      </w:pPr>
    </w:p>
    <w:p w14:paraId="4692D3D2">
      <w:pPr>
        <w:pStyle w:val="6"/>
        <w:rPr>
          <w:rFonts w:hint="eastAsia" w:asciiTheme="majorEastAsia" w:hAnsiTheme="majorEastAsia" w:eastAsiaTheme="majorEastAsia" w:cstheme="majorEastAsia"/>
          <w:lang w:val="zh-CN"/>
        </w:rPr>
      </w:pPr>
    </w:p>
    <w:p w14:paraId="15B53D30">
      <w:pPr>
        <w:rPr>
          <w:rFonts w:hint="eastAsia" w:asciiTheme="majorEastAsia" w:hAnsiTheme="majorEastAsia" w:eastAsiaTheme="majorEastAsia" w:cstheme="majorEastAsia"/>
          <w:lang w:val="en-US" w:eastAsia="zh-CN"/>
        </w:rPr>
      </w:pPr>
    </w:p>
    <w:p w14:paraId="49AF3B18">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424DE10C">
      <w:pPr>
        <w:pStyle w:val="3"/>
        <w:numPr>
          <w:ilvl w:val="0"/>
          <w:numId w:val="0"/>
        </w:numPr>
        <w:bidi w:val="0"/>
        <w:ind w:leftChars="0"/>
        <w:rPr>
          <w:rFonts w:hint="eastAsia" w:asciiTheme="majorEastAsia" w:hAnsiTheme="majorEastAsia" w:eastAsiaTheme="majorEastAsia" w:cstheme="majorEastAsia"/>
          <w:color w:val="auto"/>
          <w:lang w:val="en-US" w:eastAsia="zh-CN"/>
        </w:rPr>
      </w:pPr>
    </w:p>
    <w:p w14:paraId="2E017897">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29032"/>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3"/>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14:paraId="4C075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0C93BDB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14:paraId="394095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山东华油万达化学有限公司2024年第四季度挥发性有机物检测</w:t>
            </w:r>
          </w:p>
        </w:tc>
      </w:tr>
      <w:tr w14:paraId="70C49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DA8CE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14:paraId="4CC951E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山东华油万达化学有限公司</w:t>
            </w:r>
          </w:p>
        </w:tc>
      </w:tr>
      <w:tr w14:paraId="2E5FE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5E44A56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14:paraId="2BABF45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14:paraId="1CF80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74669E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14:paraId="72BA815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bidi="ar-SA"/>
              </w:rPr>
              <w:t>山东省东营市垦利区胜坨镇政府驻地</w:t>
            </w:r>
          </w:p>
        </w:tc>
      </w:tr>
      <w:tr w14:paraId="3E369F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404" w:type="dxa"/>
            <w:gridSpan w:val="2"/>
            <w:noWrap w:val="0"/>
            <w:vAlign w:val="center"/>
          </w:tcPr>
          <w:p w14:paraId="6394897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551" w:type="dxa"/>
            <w:gridSpan w:val="3"/>
            <w:noWrap w:val="0"/>
            <w:vAlign w:val="center"/>
          </w:tcPr>
          <w:p w14:paraId="25554E12">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2024年11月05日</w:t>
            </w:r>
          </w:p>
        </w:tc>
        <w:tc>
          <w:tcPr>
            <w:tcW w:w="2055" w:type="dxa"/>
            <w:gridSpan w:val="3"/>
            <w:noWrap w:val="0"/>
            <w:vAlign w:val="center"/>
          </w:tcPr>
          <w:p w14:paraId="7050699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检测截止日期</w:t>
            </w:r>
          </w:p>
        </w:tc>
        <w:tc>
          <w:tcPr>
            <w:tcW w:w="2929" w:type="dxa"/>
            <w:gridSpan w:val="3"/>
            <w:noWrap w:val="0"/>
            <w:vAlign w:val="center"/>
          </w:tcPr>
          <w:p w14:paraId="660DB29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宋体" w:hAnsi="宋体" w:cs="宋体"/>
                <w:color w:val="auto"/>
                <w:sz w:val="21"/>
                <w:szCs w:val="21"/>
                <w:lang w:val="en-US" w:eastAsia="zh-CN"/>
              </w:rPr>
              <w:t>2024年11月05日</w:t>
            </w:r>
          </w:p>
        </w:tc>
      </w:tr>
      <w:tr w14:paraId="360FE7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561" w:type="dxa"/>
            <w:noWrap w:val="0"/>
            <w:vAlign w:val="center"/>
          </w:tcPr>
          <w:p w14:paraId="10F9EA25">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195" w:type="dxa"/>
            <w:gridSpan w:val="5"/>
            <w:noWrap w:val="0"/>
            <w:vAlign w:val="center"/>
          </w:tcPr>
          <w:p w14:paraId="2ADFE6E4">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仪器名称：便携式有毒挥发气体分析仪、手持气象站</w:t>
            </w:r>
          </w:p>
          <w:p w14:paraId="032B4EC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仪器型号：ZR-3130、WS-30</w:t>
            </w:r>
          </w:p>
          <w:p w14:paraId="28C9389B">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仪器编号：T-003、T-004、T-005、T-008</w:t>
            </w:r>
          </w:p>
        </w:tc>
        <w:tc>
          <w:tcPr>
            <w:tcW w:w="1600" w:type="dxa"/>
            <w:gridSpan w:val="3"/>
            <w:noWrap w:val="0"/>
            <w:vAlign w:val="center"/>
          </w:tcPr>
          <w:p w14:paraId="49E92FF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583" w:type="dxa"/>
            <w:gridSpan w:val="2"/>
            <w:noWrap w:val="0"/>
            <w:vAlign w:val="center"/>
          </w:tcPr>
          <w:p w14:paraId="3235832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14:paraId="17D1E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restart"/>
            <w:noWrap w:val="0"/>
            <w:vAlign w:val="center"/>
          </w:tcPr>
          <w:p w14:paraId="6E3B8A8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14:paraId="2B4792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14:paraId="52F75B5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558050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continue"/>
            <w:noWrap w:val="0"/>
            <w:vAlign w:val="center"/>
          </w:tcPr>
          <w:p w14:paraId="12ADFEB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14:paraId="416FDBB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14:paraId="470AEB0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14:paraId="299A48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14:paraId="2C7EFF3F">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14:paraId="2E404D55">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14:paraId="37FBCD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561" w:type="dxa"/>
            <w:noWrap w:val="0"/>
            <w:vAlign w:val="center"/>
          </w:tcPr>
          <w:p w14:paraId="05AFEA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14:paraId="7796B34E">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14:paraId="73ADFB9D">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14:paraId="7D3B09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561" w:type="dxa"/>
            <w:noWrap w:val="0"/>
            <w:vAlign w:val="center"/>
          </w:tcPr>
          <w:p w14:paraId="774A756C">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14:paraId="054EC822">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highlight w:val="none"/>
                <w:lang w:val="en-US" w:eastAsia="zh-CN"/>
              </w:rPr>
              <w:t>本轮项目检测：受控密封点位305个，实际检测密封点位305个，不可达密封点位0个，发现泄漏密封点位1个，已修复合格泄漏点位1个，泄漏率为:0.33%。</w:t>
            </w:r>
          </w:p>
        </w:tc>
      </w:tr>
      <w:tr w14:paraId="79A7F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561" w:type="dxa"/>
            <w:noWrap w:val="0"/>
            <w:vAlign w:val="center"/>
          </w:tcPr>
          <w:p w14:paraId="3E0D4D8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14:paraId="5C6487A3">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李浩男、许明星、饶子洋</w:t>
            </w:r>
          </w:p>
        </w:tc>
      </w:tr>
      <w:tr w14:paraId="3EA43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561" w:type="dxa"/>
            <w:noWrap w:val="0"/>
            <w:vAlign w:val="center"/>
          </w:tcPr>
          <w:p w14:paraId="1FE8A5B9">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14:paraId="72294DA6">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5B0D237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14:paraId="2BD00AC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A334238">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14:paraId="27C88D21">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14:paraId="31383A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1" w:type="dxa"/>
            <w:noWrap w:val="0"/>
            <w:vAlign w:val="center"/>
          </w:tcPr>
          <w:p w14:paraId="0B2F3DF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14:paraId="2FE9166A">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14:paraId="6E5FC5CD">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14:paraId="10262EA7">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14:paraId="392867C4">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14:paraId="5BA5B4BB">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14:paraId="2096B5E0">
      <w:pPr>
        <w:rPr>
          <w:rFonts w:hint="eastAsia" w:asciiTheme="majorEastAsia" w:hAnsiTheme="majorEastAsia" w:eastAsiaTheme="majorEastAsia" w:cstheme="majorEastAsia"/>
          <w:color w:val="auto"/>
          <w:lang w:val="en-US" w:eastAsia="zh-CN"/>
        </w:rPr>
      </w:pPr>
    </w:p>
    <w:p w14:paraId="4B074480">
      <w:pPr>
        <w:pStyle w:val="6"/>
        <w:rPr>
          <w:rFonts w:hint="eastAsia" w:asciiTheme="majorEastAsia" w:hAnsiTheme="majorEastAsia" w:eastAsiaTheme="majorEastAsia" w:cstheme="majorEastAsia"/>
          <w:lang w:val="en-US" w:eastAsia="zh-CN"/>
        </w:rPr>
      </w:pPr>
    </w:p>
    <w:p w14:paraId="657FB375">
      <w:pPr>
        <w:rPr>
          <w:rFonts w:hint="eastAsia" w:asciiTheme="majorEastAsia" w:hAnsiTheme="majorEastAsia" w:eastAsiaTheme="majorEastAsia" w:cstheme="majorEastAsia"/>
          <w:color w:val="auto"/>
          <w:lang w:val="en-US" w:eastAsia="zh-CN"/>
        </w:rPr>
      </w:pPr>
    </w:p>
    <w:p w14:paraId="6B50B510">
      <w:pPr>
        <w:pStyle w:val="6"/>
        <w:rPr>
          <w:rFonts w:hint="eastAsia" w:asciiTheme="majorEastAsia" w:hAnsiTheme="majorEastAsia" w:eastAsiaTheme="majorEastAsia" w:cstheme="majorEastAsia"/>
          <w:lang w:val="en-US" w:eastAsia="zh-CN"/>
        </w:rPr>
      </w:pPr>
    </w:p>
    <w:p w14:paraId="6B29683C">
      <w:pPr>
        <w:numPr>
          <w:ilvl w:val="0"/>
          <w:numId w:val="0"/>
        </w:numPr>
        <w:rPr>
          <w:rFonts w:hint="eastAsia" w:asciiTheme="majorEastAsia" w:hAnsiTheme="majorEastAsia" w:eastAsiaTheme="majorEastAsia" w:cstheme="majorEastAsia"/>
          <w:lang w:val="en-US" w:eastAsia="zh-CN"/>
        </w:rPr>
      </w:pPr>
    </w:p>
    <w:p w14:paraId="710C49DF">
      <w:pPr>
        <w:tabs>
          <w:tab w:val="left" w:pos="1263"/>
        </w:tabs>
        <w:bidi w:val="0"/>
        <w:jc w:val="left"/>
        <w:rPr>
          <w:rFonts w:hint="eastAsia" w:asciiTheme="majorEastAsia" w:hAnsiTheme="majorEastAsia" w:eastAsiaTheme="majorEastAsia" w:cstheme="majorEastAsia"/>
          <w:b/>
          <w:bCs/>
          <w:lang w:val="en-US" w:eastAsia="zh-CN"/>
        </w:rPr>
        <w:sectPr>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4A60A100">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6325"/>
      <w:bookmarkStart w:id="20" w:name="_Toc25835"/>
      <w:bookmarkStart w:id="21" w:name="_Toc25630"/>
      <w:bookmarkStart w:id="22" w:name="_Toc10318"/>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14:paraId="3B511B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山东华油万达化学有限公司</w:t>
      </w:r>
    </w:p>
    <w:p w14:paraId="13F824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14:paraId="6FD6AE6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Theme="minorEastAsia" w:hAnsiTheme="minorEastAsia" w:eastAsiaTheme="minorEastAsia" w:cstheme="minorEastAsia"/>
          <w:color w:val="auto"/>
          <w:sz w:val="21"/>
          <w:szCs w:val="21"/>
          <w:lang w:val="en-US" w:eastAsia="zh-CN"/>
        </w:rPr>
        <w:t>山东省东营市垦利区胜坨镇政府驻地</w:t>
      </w:r>
    </w:p>
    <w:p w14:paraId="65A4194E">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24505"/>
      <w:r>
        <w:rPr>
          <w:rFonts w:hint="eastAsia" w:asciiTheme="majorEastAsia" w:hAnsiTheme="majorEastAsia" w:eastAsiaTheme="majorEastAsia" w:cstheme="majorEastAsia"/>
          <w:sz w:val="28"/>
          <w:szCs w:val="28"/>
          <w:lang w:val="en-US" w:eastAsia="zh-CN"/>
        </w:rPr>
        <w:t>1.2企业简介</w:t>
      </w:r>
      <w:bookmarkEnd w:id="23"/>
      <w:bookmarkStart w:id="24" w:name="_Toc15218"/>
      <w:bookmarkStart w:id="25" w:name="_Toc472"/>
      <w:bookmarkStart w:id="26" w:name="_Toc11094"/>
    </w:p>
    <w:p w14:paraId="4ADBE4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ajorEastAsia" w:hAnsiTheme="majorEastAsia" w:eastAsiaTheme="majorEastAsia" w:cstheme="majorEastAsia"/>
          <w:sz w:val="21"/>
          <w:szCs w:val="21"/>
          <w:lang w:val="en-US" w:eastAsia="zh-CN"/>
        </w:rPr>
        <w:t>　</w:t>
      </w:r>
      <w:r>
        <w:rPr>
          <w:rFonts w:hint="eastAsia" w:asciiTheme="minorEastAsia" w:hAnsiTheme="minorEastAsia" w:eastAsiaTheme="minorEastAsia" w:cstheme="minorEastAsia"/>
          <w:sz w:val="21"/>
          <w:szCs w:val="21"/>
          <w:lang w:val="en-US" w:eastAsia="zh-CN"/>
        </w:rPr>
        <w:t>山东华油万达化学有限公司成立于2010-05-27，法定代表人为彭春耀，注册资本为1000万元人民币，统一社会信用代码为9137050055671157X5，企业地址位于山东省东营市垦利区胜坨镇政府驻地，所属行业为化学原料和化学制品制造业，经营范围包含：许可项目：危险化学品经营。（依法须经批准的项目，经相关部门批准后方可开展经营活动，具体经营项目以相关部门批准文件或许可证件为准）一般项目：专用化学产品销售（不含危险化学品）；化工产品生产（不含许可类化工产品）；化工产品销售（不含许可类化工产品）；技术服务、技术开发、技术咨询、技术交流、技术转让、技术推广。</w:t>
      </w:r>
    </w:p>
    <w:p w14:paraId="57C81CF4">
      <w:pPr>
        <w:pStyle w:val="6"/>
        <w:rPr>
          <w:rFonts w:hint="eastAsia"/>
          <w:lang w:val="en-US" w:eastAsia="zh-CN"/>
        </w:rPr>
      </w:pPr>
    </w:p>
    <w:p w14:paraId="64608AC2">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4754"/>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14:paraId="47D0A5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3"/>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14:paraId="3E8DF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14:paraId="3D4F7CA8">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14:paraId="2E37A36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14:paraId="0372B17F">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14:paraId="7A1CDEF6">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14:paraId="497A5C8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14:paraId="6F5BB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14:paraId="47F641F4">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14:paraId="10613859">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2024年11月05日</w:t>
            </w:r>
          </w:p>
        </w:tc>
        <w:tc>
          <w:tcPr>
            <w:tcW w:w="1984" w:type="dxa"/>
            <w:tcBorders>
              <w:tl2br w:val="nil"/>
              <w:tr2bl w:val="nil"/>
            </w:tcBorders>
            <w:vAlign w:val="center"/>
          </w:tcPr>
          <w:p w14:paraId="04903661">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14:paraId="30BAEB7E">
            <w:pPr>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2059" w:type="dxa"/>
            <w:tcBorders>
              <w:tl2br w:val="nil"/>
              <w:tr2bl w:val="nil"/>
            </w:tcBorders>
            <w:vAlign w:val="center"/>
          </w:tcPr>
          <w:p w14:paraId="1282571A">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14:paraId="2CCE9C59">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6549"/>
      <w:bookmarkStart w:id="29" w:name="_Toc4462"/>
      <w:bookmarkStart w:id="30" w:name="_Toc11175"/>
    </w:p>
    <w:p w14:paraId="640D79DE">
      <w:pPr>
        <w:pStyle w:val="3"/>
        <w:numPr>
          <w:ilvl w:val="0"/>
          <w:numId w:val="0"/>
        </w:numPr>
        <w:ind w:leftChars="0"/>
        <w:rPr>
          <w:rFonts w:hint="eastAsia" w:asciiTheme="majorEastAsia" w:hAnsiTheme="majorEastAsia" w:eastAsiaTheme="majorEastAsia" w:cstheme="majorEastAsia"/>
          <w:color w:val="auto"/>
          <w:lang w:val="en-US"/>
        </w:rPr>
      </w:pPr>
      <w:bookmarkStart w:id="31" w:name="_Toc26218"/>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14:paraId="23E888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15548"/>
      <w:bookmarkStart w:id="33" w:name="_Toc30135"/>
      <w:bookmarkStart w:id="34" w:name="_Toc603"/>
      <w:r>
        <w:rPr>
          <w:rFonts w:hint="eastAsia" w:asciiTheme="majorEastAsia" w:hAnsiTheme="majorEastAsia" w:eastAsiaTheme="majorEastAsia" w:cstheme="majorEastAsia"/>
          <w:sz w:val="21"/>
          <w:szCs w:val="21"/>
          <w:lang w:val="en-US" w:eastAsia="zh-CN"/>
        </w:rPr>
        <w:t>项目建立阶段的工作内容包括：</w:t>
      </w:r>
    </w:p>
    <w:p w14:paraId="0D12319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14:paraId="543585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14:paraId="62EC1E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14:paraId="23E4DD60">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32428"/>
      <w:r>
        <w:rPr>
          <w:rFonts w:hint="eastAsia" w:asciiTheme="majorEastAsia" w:hAnsiTheme="majorEastAsia" w:eastAsiaTheme="majorEastAsia" w:cstheme="majorEastAsia"/>
          <w:lang w:val="en-US" w:eastAsia="zh-CN"/>
        </w:rPr>
        <w:t>2.1项目组筹建</w:t>
      </w:r>
      <w:bookmarkEnd w:id="32"/>
      <w:bookmarkEnd w:id="33"/>
      <w:bookmarkEnd w:id="34"/>
      <w:bookmarkEnd w:id="35"/>
    </w:p>
    <w:p w14:paraId="75A36F48">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3"/>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14:paraId="5121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14:paraId="11152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14:paraId="74426D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14:paraId="31FD5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1D1F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14:paraId="53312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14:paraId="2D979B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14:paraId="5239705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14:paraId="31CC01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14:paraId="4473E3A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3"/>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14:paraId="63054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F798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14:paraId="2404ED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14:paraId="44646E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14:paraId="49912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14:paraId="5542C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0A3CB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14:paraId="41BB06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14:paraId="3782C8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42E3DE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14:paraId="1F2F53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7FE34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14:paraId="2D8DAC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饶子洋</w:t>
            </w:r>
          </w:p>
        </w:tc>
        <w:tc>
          <w:tcPr>
            <w:tcW w:w="1275" w:type="dxa"/>
            <w:tcBorders>
              <w:tl2br w:val="nil"/>
              <w:tr2bl w:val="nil"/>
            </w:tcBorders>
            <w:vAlign w:val="center"/>
          </w:tcPr>
          <w:p w14:paraId="2E4FF46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0EF0CA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14:paraId="2C36D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14:paraId="4785B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14:paraId="0CAE2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14:paraId="16B4E1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14:paraId="6D82F0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14:paraId="3B591C5F">
      <w:pPr>
        <w:rPr>
          <w:rFonts w:hint="eastAsia" w:asciiTheme="majorEastAsia" w:hAnsiTheme="majorEastAsia" w:eastAsiaTheme="majorEastAsia" w:cstheme="majorEastAsia"/>
          <w:sz w:val="21"/>
          <w:szCs w:val="21"/>
          <w:lang w:val="en-US" w:eastAsia="zh-CN" w:bidi="en-US"/>
        </w:rPr>
      </w:pPr>
    </w:p>
    <w:p w14:paraId="027AE56D">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山东华油万达化学有限公司LDAR实施计划：</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14:paraId="5C0570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14:paraId="3F303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14:paraId="31CFB4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14:paraId="036B58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14:paraId="30054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0E710B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565DEA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382C7A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w:t>
            </w:r>
          </w:p>
        </w:tc>
      </w:tr>
      <w:tr w14:paraId="61464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E7AA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7C78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14:paraId="590FF4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w:t>
            </w:r>
          </w:p>
        </w:tc>
      </w:tr>
      <w:tr w14:paraId="1EB84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299B3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67054B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14:paraId="5C1AA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r w14:paraId="266D9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71580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23CEAE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49A7C4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李浩男、饶子洋、许明星</w:t>
            </w:r>
          </w:p>
        </w:tc>
      </w:tr>
      <w:tr w14:paraId="0D0E1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14:paraId="6E814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14:paraId="46F2CF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14:paraId="7A7B62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李浩男</w:t>
            </w:r>
          </w:p>
        </w:tc>
      </w:tr>
    </w:tbl>
    <w:p w14:paraId="2C7094AB">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10338"/>
      <w:bookmarkStart w:id="37" w:name="_Toc417"/>
      <w:bookmarkStart w:id="38" w:name="_Toc13645"/>
      <w:bookmarkStart w:id="39" w:name="_Toc476727239"/>
    </w:p>
    <w:p w14:paraId="3F5443C2">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12212"/>
      <w:r>
        <w:rPr>
          <w:rFonts w:hint="eastAsia" w:asciiTheme="majorEastAsia" w:hAnsiTheme="majorEastAsia" w:eastAsiaTheme="majorEastAsia" w:cstheme="majorEastAsia"/>
          <w:lang w:val="en-US" w:eastAsia="zh-CN"/>
        </w:rPr>
        <w:t>2.2密封点建档</w:t>
      </w:r>
      <w:bookmarkEnd w:id="36"/>
      <w:bookmarkEnd w:id="37"/>
      <w:bookmarkEnd w:id="38"/>
      <w:bookmarkEnd w:id="40"/>
    </w:p>
    <w:p w14:paraId="4C88160E">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8306"/>
      <w:bookmarkStart w:id="42" w:name="_Toc26954"/>
      <w:bookmarkStart w:id="43" w:name="_Toc17243"/>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14:paraId="7F7E1C71">
      <w:pPr>
        <w:pStyle w:val="6"/>
        <w:rPr>
          <w:rFonts w:hint="eastAsia" w:asciiTheme="majorEastAsia" w:hAnsiTheme="majorEastAsia" w:eastAsiaTheme="majorEastAsia" w:cstheme="majorEastAsia"/>
          <w:sz w:val="21"/>
          <w:szCs w:val="21"/>
        </w:rPr>
      </w:pPr>
    </w:p>
    <w:p w14:paraId="58C2A7C2">
      <w:pPr>
        <w:pStyle w:val="6"/>
        <w:rPr>
          <w:rFonts w:hint="eastAsia" w:asciiTheme="majorEastAsia" w:hAnsiTheme="majorEastAsia" w:eastAsiaTheme="majorEastAsia" w:cstheme="majorEastAsia"/>
          <w:sz w:val="21"/>
          <w:szCs w:val="21"/>
        </w:rPr>
      </w:pPr>
    </w:p>
    <w:p w14:paraId="196CE6BE">
      <w:pPr>
        <w:pStyle w:val="6"/>
        <w:rPr>
          <w:rFonts w:hint="eastAsia" w:asciiTheme="majorEastAsia" w:hAnsiTheme="majorEastAsia" w:eastAsiaTheme="majorEastAsia" w:cstheme="majorEastAsia"/>
          <w:sz w:val="21"/>
          <w:szCs w:val="21"/>
        </w:rPr>
      </w:pPr>
    </w:p>
    <w:p w14:paraId="6BF1BCCC">
      <w:pPr>
        <w:spacing w:line="276" w:lineRule="auto"/>
        <w:ind w:left="420"/>
        <w:jc w:val="center"/>
        <w:outlineLvl w:val="0"/>
        <w:rPr>
          <w:rFonts w:hint="eastAsia" w:asciiTheme="majorEastAsia" w:hAnsiTheme="majorEastAsia" w:eastAsiaTheme="majorEastAsia" w:cstheme="majorEastAsia"/>
          <w:b/>
          <w:bCs w:val="0"/>
          <w:sz w:val="21"/>
          <w:szCs w:val="21"/>
        </w:rPr>
      </w:pPr>
      <w:bookmarkStart w:id="44" w:name="_Toc20389"/>
      <w:r>
        <w:rPr>
          <w:rFonts w:hint="eastAsia" w:asciiTheme="majorEastAsia" w:hAnsiTheme="majorEastAsia" w:eastAsiaTheme="majorEastAsia" w:cstheme="majorEastAsia"/>
          <w:b/>
          <w:bCs w:val="0"/>
          <w:sz w:val="21"/>
          <w:szCs w:val="21"/>
        </w:rPr>
        <w:t>检测密封点识别及编号流程</w:t>
      </w:r>
      <w:bookmarkEnd w:id="41"/>
      <w:bookmarkEnd w:id="42"/>
      <w:bookmarkEnd w:id="43"/>
      <w:bookmarkEnd w:id="44"/>
    </w:p>
    <w:p w14:paraId="2297A279">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5376545" cy="3105150"/>
                    </a:xfrm>
                    <a:prstGeom prst="rect">
                      <a:avLst/>
                    </a:prstGeom>
                  </pic:spPr>
                </pic:pic>
              </a:graphicData>
            </a:graphic>
          </wp:inline>
        </w:drawing>
      </w:r>
    </w:p>
    <w:p w14:paraId="10DE089A">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5" w:name="_Toc28271"/>
      <w:bookmarkStart w:id="46" w:name="_Toc15082"/>
      <w:bookmarkStart w:id="47" w:name="_Toc10566"/>
    </w:p>
    <w:p w14:paraId="61F9DD83">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5"/>
      <w:bookmarkEnd w:id="46"/>
      <w:bookmarkEnd w:id="47"/>
    </w:p>
    <w:p w14:paraId="086FB4F9">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14:paraId="7BDCA4D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14:paraId="63177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14:paraId="7AB60BF9">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13672"/>
      <w:r>
        <w:rPr>
          <w:rFonts w:hint="eastAsia" w:asciiTheme="majorEastAsia" w:hAnsiTheme="majorEastAsia" w:eastAsiaTheme="majorEastAsia" w:cstheme="majorEastAsia"/>
          <w:lang w:val="en-US" w:eastAsia="zh-CN"/>
        </w:rPr>
        <w:t>2.3装置适合性分析</w:t>
      </w:r>
      <w:bookmarkEnd w:id="48"/>
    </w:p>
    <w:p w14:paraId="134AAF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14:paraId="13FDE3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14:paraId="27A0FE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14:paraId="323C46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14:paraId="1B026D8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14:paraId="78A707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14:paraId="44ED81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14:paraId="53145F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14:paraId="7E1DA9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14:paraId="08A269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14:paraId="71C243FC">
      <w:pPr>
        <w:pStyle w:val="6"/>
        <w:rPr>
          <w:rFonts w:hint="eastAsia" w:asciiTheme="majorEastAsia" w:hAnsiTheme="majorEastAsia" w:eastAsiaTheme="majorEastAsia" w:cstheme="majorEastAsia"/>
        </w:rPr>
      </w:pPr>
    </w:p>
    <w:p w14:paraId="5DD480D5">
      <w:pPr>
        <w:pStyle w:val="6"/>
        <w:rPr>
          <w:rFonts w:hint="eastAsia" w:asciiTheme="majorEastAsia" w:hAnsiTheme="majorEastAsia" w:eastAsiaTheme="majorEastAsia" w:cstheme="majorEastAsia"/>
        </w:rPr>
      </w:pPr>
    </w:p>
    <w:p w14:paraId="685E7392">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22342"/>
      <w:r>
        <w:rPr>
          <w:rFonts w:hint="eastAsia" w:asciiTheme="majorEastAsia" w:hAnsiTheme="majorEastAsia" w:eastAsiaTheme="majorEastAsia" w:cstheme="majorEastAsia"/>
          <w:lang w:val="en-US" w:eastAsia="zh-CN"/>
        </w:rPr>
        <w:t>2.4物料状态分析表</w:t>
      </w:r>
      <w:bookmarkEnd w:id="49"/>
    </w:p>
    <w:tbl>
      <w:tblPr>
        <w:tblStyle w:val="13"/>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14:paraId="64B544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14:paraId="65F755E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14:paraId="13918D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14:paraId="74253040">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14:paraId="49518343">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14:paraId="6F33B16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14:paraId="53931858">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14:paraId="64A67B7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14:paraId="0E5C5DDB">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14:paraId="112357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14:paraId="4C4B181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14:paraId="69044346">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丙烯腈</w:t>
            </w:r>
          </w:p>
        </w:tc>
        <w:tc>
          <w:tcPr>
            <w:tcW w:w="1012" w:type="dxa"/>
            <w:tcBorders>
              <w:tl2br w:val="nil"/>
              <w:tr2bl w:val="nil"/>
            </w:tcBorders>
            <w:noWrap w:val="0"/>
            <w:vAlign w:val="center"/>
          </w:tcPr>
          <w:p w14:paraId="7580EEF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14:paraId="69176BA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14:paraId="0FE4DDE1">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14:paraId="486961B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14:paraId="4A5B5032">
      <w:pPr>
        <w:rPr>
          <w:rFonts w:hint="eastAsia" w:asciiTheme="majorEastAsia" w:hAnsiTheme="majorEastAsia" w:eastAsiaTheme="majorEastAsia" w:cstheme="majorEastAsia"/>
          <w:lang w:val="en-US" w:eastAsia="zh-CN"/>
        </w:rPr>
      </w:pPr>
    </w:p>
    <w:p w14:paraId="049447C2">
      <w:pPr>
        <w:pStyle w:val="4"/>
        <w:numPr>
          <w:ilvl w:val="1"/>
          <w:numId w:val="0"/>
        </w:numPr>
        <w:bidi w:val="0"/>
        <w:ind w:leftChars="0"/>
        <w:rPr>
          <w:rFonts w:hint="eastAsia" w:asciiTheme="majorEastAsia" w:hAnsiTheme="majorEastAsia" w:eastAsiaTheme="majorEastAsia" w:cstheme="majorEastAsia"/>
          <w:lang w:val="en-US" w:eastAsia="zh-CN"/>
        </w:rPr>
      </w:pPr>
      <w:bookmarkStart w:id="50" w:name="_Toc19559"/>
      <w:r>
        <w:rPr>
          <w:rFonts w:hint="eastAsia" w:asciiTheme="majorEastAsia" w:hAnsiTheme="majorEastAsia" w:eastAsiaTheme="majorEastAsia" w:cstheme="majorEastAsia"/>
          <w:lang w:val="en-US" w:eastAsia="zh-CN"/>
        </w:rPr>
        <w:t>2.5受控装置分析清单</w:t>
      </w:r>
      <w:bookmarkEnd w:id="50"/>
    </w:p>
    <w:bookmarkEnd w:id="39"/>
    <w:tbl>
      <w:tblPr>
        <w:tblStyle w:val="1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2"/>
        <w:gridCol w:w="2278"/>
        <w:gridCol w:w="1586"/>
        <w:gridCol w:w="3390"/>
        <w:gridCol w:w="1622"/>
      </w:tblGrid>
      <w:tr w14:paraId="48613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E9CF73C">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1" w:name="_Toc12509"/>
            <w:bookmarkStart w:id="52" w:name="_Toc17776"/>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14:paraId="192BF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shd w:val="clear" w:color="auto" w:fill="auto"/>
            <w:vAlign w:val="center"/>
          </w:tcPr>
          <w:p w14:paraId="18E05C89">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14:paraId="322096B6">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14:paraId="33624BC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14:paraId="1815BA9F">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7" w:type="pct"/>
            <w:tcBorders>
              <w:tl2br w:val="nil"/>
              <w:tr2bl w:val="nil"/>
            </w:tcBorders>
            <w:shd w:val="clear" w:color="auto" w:fill="auto"/>
            <w:vAlign w:val="center"/>
          </w:tcPr>
          <w:p w14:paraId="521C4135">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14:paraId="077DC6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424C406D">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14:paraId="4A9C5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vAlign w:val="center"/>
          </w:tcPr>
          <w:p w14:paraId="1B038786">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1</w:t>
            </w:r>
          </w:p>
        </w:tc>
        <w:tc>
          <w:tcPr>
            <w:tcW w:w="1178" w:type="pct"/>
            <w:tcBorders>
              <w:tl2br w:val="nil"/>
              <w:tr2bl w:val="nil"/>
            </w:tcBorders>
            <w:vAlign w:val="center"/>
          </w:tcPr>
          <w:p w14:paraId="54BA594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PAM水合工序</w:t>
            </w:r>
          </w:p>
        </w:tc>
        <w:tc>
          <w:tcPr>
            <w:tcW w:w="820" w:type="pct"/>
            <w:tcBorders>
              <w:tl2br w:val="nil"/>
              <w:tr2bl w:val="nil"/>
            </w:tcBorders>
            <w:vAlign w:val="center"/>
          </w:tcPr>
          <w:p w14:paraId="6ED655F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7EE18E52">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837" w:type="pct"/>
            <w:tcBorders>
              <w:tl2br w:val="nil"/>
              <w:tr2bl w:val="nil"/>
            </w:tcBorders>
            <w:vAlign w:val="center"/>
          </w:tcPr>
          <w:p w14:paraId="0E30BBC7">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XXPAM0</w:t>
            </w:r>
          </w:p>
        </w:tc>
      </w:tr>
      <w:tr w14:paraId="12853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0" w:type="pct"/>
            <w:tcBorders>
              <w:tl2br w:val="nil"/>
              <w:tr2bl w:val="nil"/>
            </w:tcBorders>
            <w:vAlign w:val="center"/>
          </w:tcPr>
          <w:p w14:paraId="37938C27">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2</w:t>
            </w:r>
          </w:p>
        </w:tc>
        <w:tc>
          <w:tcPr>
            <w:tcW w:w="1178" w:type="pct"/>
            <w:tcBorders>
              <w:tl2br w:val="nil"/>
              <w:tr2bl w:val="nil"/>
            </w:tcBorders>
            <w:vAlign w:val="center"/>
          </w:tcPr>
          <w:p w14:paraId="7AD1A2C0">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储运装置</w:t>
            </w:r>
          </w:p>
        </w:tc>
        <w:tc>
          <w:tcPr>
            <w:tcW w:w="820" w:type="pct"/>
            <w:tcBorders>
              <w:tl2br w:val="nil"/>
              <w:tr2bl w:val="nil"/>
            </w:tcBorders>
            <w:vAlign w:val="center"/>
          </w:tcPr>
          <w:p w14:paraId="2123B70A">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是</w:t>
            </w:r>
          </w:p>
        </w:tc>
        <w:tc>
          <w:tcPr>
            <w:tcW w:w="1753" w:type="pct"/>
            <w:tcBorders>
              <w:tl2br w:val="nil"/>
              <w:tr2bl w:val="nil"/>
            </w:tcBorders>
            <w:vAlign w:val="center"/>
          </w:tcPr>
          <w:p w14:paraId="1583BAFF">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涉VOCs物料:丙烯腈</w:t>
            </w:r>
          </w:p>
        </w:tc>
        <w:tc>
          <w:tcPr>
            <w:tcW w:w="837" w:type="pct"/>
            <w:tcBorders>
              <w:tl2br w:val="nil"/>
              <w:tr2bl w:val="nil"/>
            </w:tcBorders>
            <w:vAlign w:val="center"/>
          </w:tcPr>
          <w:p w14:paraId="2D422B33">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lang w:val="en-US" w:eastAsia="zh-CN"/>
                <w14:textFill>
                  <w14:solidFill>
                    <w14:schemeClr w14:val="tx1"/>
                  </w14:solidFill>
                </w14:textFill>
              </w:rPr>
              <w:t>XXXZG0</w:t>
            </w:r>
          </w:p>
        </w:tc>
      </w:tr>
      <w:tr w14:paraId="753603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14:paraId="34BBC112">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14:paraId="6CC9C33C">
      <w:pPr>
        <w:rPr>
          <w:rFonts w:hint="eastAsia" w:asciiTheme="majorEastAsia" w:hAnsiTheme="majorEastAsia" w:eastAsiaTheme="majorEastAsia" w:cstheme="majorEastAsia"/>
          <w:lang w:val="en-US" w:eastAsia="zh-CN"/>
        </w:rPr>
      </w:pPr>
    </w:p>
    <w:p w14:paraId="3A207A67">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8263"/>
      <w:r>
        <w:rPr>
          <w:rFonts w:hint="eastAsia" w:asciiTheme="majorEastAsia" w:hAnsiTheme="majorEastAsia" w:eastAsiaTheme="majorEastAsia" w:cstheme="majorEastAsia"/>
          <w:lang w:val="en-US" w:eastAsia="zh-CN"/>
        </w:rPr>
        <w:t>2.6装置适合性分析</w:t>
      </w:r>
      <w:bookmarkEnd w:id="53"/>
    </w:p>
    <w:p w14:paraId="244AA6BB">
      <w:pPr>
        <w:pStyle w:val="6"/>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14:paraId="5D340E66">
      <w:pPr>
        <w:pStyle w:val="6"/>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14:paraId="0DC30A3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14:paraId="5F5D6650">
      <w:pPr>
        <w:rPr>
          <w:rFonts w:hint="eastAsia" w:asciiTheme="majorEastAsia" w:hAnsiTheme="majorEastAsia" w:eastAsiaTheme="majorEastAsia" w:cstheme="majorEastAsia"/>
        </w:rPr>
      </w:pPr>
    </w:p>
    <w:p w14:paraId="575580B7">
      <w:pPr>
        <w:rPr>
          <w:rFonts w:hint="eastAsia" w:asciiTheme="majorEastAsia" w:hAnsiTheme="majorEastAsia" w:eastAsiaTheme="majorEastAsia" w:cstheme="majorEastAsia"/>
          <w:lang w:val="en-US" w:eastAsia="zh-CN"/>
        </w:rPr>
      </w:pPr>
    </w:p>
    <w:p w14:paraId="78F5D0B3">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147"/>
      <w:r>
        <w:rPr>
          <w:rFonts w:hint="eastAsia" w:asciiTheme="majorEastAsia" w:hAnsiTheme="majorEastAsia" w:eastAsiaTheme="majorEastAsia" w:cstheme="majorEastAsia"/>
          <w:lang w:val="en-US" w:eastAsia="zh-CN"/>
        </w:rPr>
        <w:t>2.7响应因子分析</w:t>
      </w:r>
      <w:bookmarkEnd w:id="54"/>
    </w:p>
    <w:p w14:paraId="69D86D9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14:paraId="5167DED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14:paraId="5773433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6552ACA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14:paraId="487FCA91">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14:paraId="4786ECB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14:paraId="33D37C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14:paraId="60F678B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14:paraId="175B20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3360"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16"/>
                    <a:stretch>
                      <a:fillRect/>
                    </a:stretch>
                  </pic:blipFill>
                  <pic:spPr>
                    <a:xfrm>
                      <a:off x="0" y="0"/>
                      <a:ext cx="1409700" cy="697865"/>
                    </a:xfrm>
                    <a:prstGeom prst="rect">
                      <a:avLst/>
                    </a:prstGeom>
                    <a:noFill/>
                    <a:ln>
                      <a:noFill/>
                    </a:ln>
                  </pic:spPr>
                </pic:pic>
              </a:graphicData>
            </a:graphic>
          </wp:anchor>
        </w:drawing>
      </w:r>
    </w:p>
    <w:p w14:paraId="76173B6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14:paraId="0396E53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14:paraId="07A211E7">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14:paraId="010AAC52">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14:paraId="07344E7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14:paraId="6CB53D10">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14:paraId="648D437B">
      <w:pPr>
        <w:pStyle w:val="6"/>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14:paraId="6CF42DD8">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14:paraId="03C5550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14:paraId="48BCB32D">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14:paraId="46F06551">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14:paraId="13F992EA">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7"/>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14:paraId="487F1399">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14:paraId="27E9DCC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14:paraId="18BA5B4B">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14:paraId="7ECBD40E">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14:paraId="77C833D4">
      <w:pPr>
        <w:pStyle w:val="6"/>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14:paraId="2A97A94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14:paraId="5B9079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14:paraId="0EA50A0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14:paraId="3212D58C">
      <w:pPr>
        <w:pStyle w:val="2"/>
        <w:rPr>
          <w:rFonts w:hint="eastAsia" w:asciiTheme="majorEastAsia" w:hAnsiTheme="majorEastAsia" w:eastAsiaTheme="majorEastAsia" w:cstheme="majorEastAsia"/>
        </w:rPr>
      </w:pPr>
    </w:p>
    <w:tbl>
      <w:tblPr>
        <w:tblStyle w:val="13"/>
        <w:tblW w:w="5000" w:type="pct"/>
        <w:jc w:val="center"/>
        <w:tblLayout w:type="autofit"/>
        <w:tblCellMar>
          <w:top w:w="15" w:type="dxa"/>
          <w:left w:w="15" w:type="dxa"/>
          <w:bottom w:w="15" w:type="dxa"/>
          <w:right w:w="15" w:type="dxa"/>
        </w:tblCellMar>
      </w:tblPr>
      <w:tblGrid>
        <w:gridCol w:w="829"/>
        <w:gridCol w:w="1859"/>
        <w:gridCol w:w="2322"/>
        <w:gridCol w:w="2319"/>
        <w:gridCol w:w="2339"/>
      </w:tblGrid>
      <w:tr w14:paraId="2E779F94">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14:paraId="1B82DEF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14:paraId="1181FF08">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14:paraId="2700FB31">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14:paraId="270A756F">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14:paraId="7A2795E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14:paraId="7A7C3938">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14:paraId="2FD37687">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14:paraId="46C8712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14:paraId="19043DEB">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7703A2AD">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14:paraId="3CA6F033">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14:paraId="3733FCDD">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14:paraId="6181E0C2">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14:paraId="4EA842B4">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14:paraId="7DFE9690">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14:paraId="551624E5">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14:paraId="690512AF">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14:paraId="0D186F2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bidi="ar"/>
              </w:rPr>
              <w:t>丙烯腈</w:t>
            </w:r>
          </w:p>
        </w:tc>
        <w:tc>
          <w:tcPr>
            <w:tcW w:w="2322" w:type="dxa"/>
            <w:tcBorders>
              <w:top w:val="single" w:color="000000" w:sz="4" w:space="0"/>
              <w:left w:val="single" w:color="000000" w:sz="4" w:space="0"/>
              <w:bottom w:val="single" w:color="000000" w:sz="4" w:space="0"/>
              <w:right w:val="single" w:color="000000" w:sz="4" w:space="0"/>
            </w:tcBorders>
            <w:vAlign w:val="center"/>
          </w:tcPr>
          <w:p w14:paraId="506FCCC8">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vAlign w:val="center"/>
          </w:tcPr>
          <w:p w14:paraId="6B854B4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14:paraId="4282FD73">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color w:val="auto"/>
                <w:kern w:val="0"/>
                <w:sz w:val="21"/>
                <w:szCs w:val="21"/>
                <w:u w:val="none"/>
                <w:lang w:val="en-US" w:eastAsia="zh-CN" w:bidi="ar"/>
              </w:rPr>
              <w:t>否</w:t>
            </w:r>
          </w:p>
        </w:tc>
      </w:tr>
    </w:tbl>
    <w:p w14:paraId="49F18189">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5" w:name="_Toc10973"/>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1"/>
      <w:bookmarkEnd w:id="52"/>
      <w:bookmarkEnd w:id="55"/>
    </w:p>
    <w:p w14:paraId="1D4718D8">
      <w:pPr>
        <w:pStyle w:val="4"/>
        <w:numPr>
          <w:ilvl w:val="1"/>
          <w:numId w:val="0"/>
        </w:numPr>
        <w:bidi w:val="0"/>
        <w:ind w:leftChars="0"/>
        <w:rPr>
          <w:rFonts w:hint="eastAsia" w:asciiTheme="majorEastAsia" w:hAnsiTheme="majorEastAsia" w:eastAsiaTheme="majorEastAsia" w:cstheme="majorEastAsia"/>
          <w:lang w:val="en-US" w:eastAsia="zh-CN"/>
        </w:rPr>
      </w:pPr>
      <w:bookmarkStart w:id="56" w:name="_Toc25188"/>
      <w:bookmarkStart w:id="57" w:name="_Toc21329"/>
      <w:bookmarkStart w:id="58" w:name="_Toc6948"/>
      <w:bookmarkStart w:id="59" w:name="_Toc28063"/>
      <w:r>
        <w:rPr>
          <w:rFonts w:hint="eastAsia" w:asciiTheme="majorEastAsia" w:hAnsiTheme="majorEastAsia" w:eastAsiaTheme="majorEastAsia" w:cstheme="majorEastAsia"/>
        </w:rPr>
        <w:drawing>
          <wp:anchor distT="0" distB="0" distL="114300" distR="114300" simplePos="0" relativeHeight="251662336" behindDoc="0" locked="0" layoutInCell="1" allowOverlap="1">
            <wp:simplePos x="0" y="0"/>
            <wp:positionH relativeFrom="column">
              <wp:posOffset>2394585</wp:posOffset>
            </wp:positionH>
            <wp:positionV relativeFrom="paragraph">
              <wp:posOffset>443230</wp:posOffset>
            </wp:positionV>
            <wp:extent cx="1330960" cy="1669415"/>
            <wp:effectExtent l="0" t="0" r="2540" b="6985"/>
            <wp:wrapSquare wrapText="bothSides"/>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18"/>
                    <a:stretch>
                      <a:fillRect/>
                    </a:stretch>
                  </pic:blipFill>
                  <pic:spPr>
                    <a:xfrm>
                      <a:off x="0" y="0"/>
                      <a:ext cx="1330960" cy="1669415"/>
                    </a:xfrm>
                    <a:prstGeom prst="rect">
                      <a:avLst/>
                    </a:prstGeom>
                    <a:noFill/>
                    <a:ln>
                      <a:noFill/>
                    </a:ln>
                  </pic:spPr>
                </pic:pic>
              </a:graphicData>
            </a:graphic>
          </wp:anchor>
        </w:drawing>
      </w:r>
      <w:r>
        <w:rPr>
          <w:rFonts w:hint="eastAsia" w:asciiTheme="majorEastAsia" w:hAnsiTheme="majorEastAsia" w:eastAsiaTheme="majorEastAsia" w:cstheme="majorEastAsia"/>
          <w:lang w:val="en-US" w:eastAsia="zh-CN"/>
        </w:rPr>
        <w:t>3.1</w:t>
      </w:r>
      <w:bookmarkEnd w:id="56"/>
      <w:bookmarkEnd w:id="57"/>
      <w:bookmarkEnd w:id="58"/>
      <w:bookmarkStart w:id="60" w:name="_Toc23655"/>
      <w:r>
        <w:rPr>
          <w:rFonts w:hint="eastAsia" w:asciiTheme="majorEastAsia" w:hAnsiTheme="majorEastAsia" w:eastAsiaTheme="majorEastAsia" w:cstheme="majorEastAsia"/>
          <w:lang w:val="en-US" w:eastAsia="zh-CN"/>
        </w:rPr>
        <w:t>检测设备及辅助设备</w:t>
      </w:r>
      <w:bookmarkEnd w:id="59"/>
      <w:bookmarkEnd w:id="60"/>
    </w:p>
    <w:p w14:paraId="080F978E">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p>
    <w:p w14:paraId="1D057681">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756DEB88">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450619EF">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349FDCA9">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9601305">
      <w:pPr>
        <w:pStyle w:val="21"/>
        <w:ind w:left="936" w:firstLine="0" w:firstLineChars="0"/>
        <w:jc w:val="both"/>
        <w:rPr>
          <w:rFonts w:hint="eastAsia" w:asciiTheme="majorEastAsia" w:hAnsiTheme="majorEastAsia" w:eastAsiaTheme="majorEastAsia" w:cstheme="majorEastAsia"/>
          <w:sz w:val="21"/>
          <w:szCs w:val="21"/>
          <w:lang w:val="en-US" w:eastAsia="zh-CN"/>
        </w:rPr>
      </w:pPr>
    </w:p>
    <w:p w14:paraId="6D17B1E1">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tbl>
      <w:tblPr>
        <w:tblStyle w:val="14"/>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14:paraId="18E3F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14:paraId="5A2E88E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1" w:name="_Toc8884"/>
            <w:bookmarkStart w:id="62" w:name="_Toc15428"/>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14:paraId="77CB664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14:paraId="06DD46F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14:paraId="17A995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14:paraId="190E8AD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14:paraId="7C90EC7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14:paraId="6589DF7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14:paraId="06C8D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14:paraId="3770133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14:paraId="51E1A48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14:paraId="52E1570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14:paraId="76522ADD">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14:paraId="046BDC4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14:paraId="5619A51F">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14:paraId="52C824C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1"/>
      <w:bookmarkEnd w:id="62"/>
    </w:tbl>
    <w:p w14:paraId="7EC8C3DF">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14:paraId="351B2D7F">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14:paraId="423F014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3" w:name="_Toc18593"/>
      <w:bookmarkStart w:id="64" w:name="_Toc5177"/>
      <w:bookmarkStart w:id="65" w:name="_Toc14378"/>
      <w:bookmarkStart w:id="66" w:name="_Toc3981"/>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14:paraId="424148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14:paraId="4EB73BC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14:paraId="2A0CDB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14:paraId="7E40409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14:paraId="2AC69D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14:paraId="51919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14:paraId="3DD88D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14:paraId="6D59F5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14:paraId="48A5C4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14:paraId="0835E9C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14:paraId="329EE4F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14:paraId="6969D75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14:paraId="012C2B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14:paraId="4D695F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14:paraId="3D22B5C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——零气，挥发性有机物浓度小于10µmol/mol的洁净空气（以CH4计）；</w:t>
      </w:r>
    </w:p>
    <w:p w14:paraId="18C20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14:paraId="15E23C2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——燃料气（高纯氢气99.99%），供气压力不低于10MPa。</w:t>
      </w:r>
    </w:p>
    <w:p w14:paraId="51A1B85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4"/>
        <w:tblpPr w:leftFromText="180" w:rightFromText="180" w:vertAnchor="text" w:horzAnchor="page" w:tblpXSpec="center" w:tblpY="812"/>
        <w:tblOverlap w:val="never"/>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14:paraId="36B5C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4BD0EDB7">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6" w:type="pct"/>
            <w:tcBorders>
              <w:tl2br w:val="nil"/>
              <w:tr2bl w:val="nil"/>
            </w:tcBorders>
            <w:vAlign w:val="center"/>
          </w:tcPr>
          <w:p w14:paraId="231C107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3E99C63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846" w:type="pct"/>
            <w:tcBorders>
              <w:tl2br w:val="nil"/>
              <w:tr2bl w:val="nil"/>
            </w:tcBorders>
            <w:vAlign w:val="center"/>
          </w:tcPr>
          <w:p w14:paraId="19D22223">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897" w:type="pct"/>
            <w:tcBorders>
              <w:tl2br w:val="nil"/>
              <w:tr2bl w:val="nil"/>
            </w:tcBorders>
            <w:vAlign w:val="center"/>
          </w:tcPr>
          <w:p w14:paraId="49CD69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14:paraId="603DC76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14:paraId="4115560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14:paraId="1436B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686BD0">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58F8894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133" w:type="pct"/>
            <w:tcBorders>
              <w:tl2br w:val="nil"/>
              <w:tr2bl w:val="nil"/>
            </w:tcBorders>
            <w:vAlign w:val="center"/>
          </w:tcPr>
          <w:p w14:paraId="79766742">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44F8436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T-003</w:t>
            </w:r>
          </w:p>
        </w:tc>
        <w:tc>
          <w:tcPr>
            <w:tcW w:w="897" w:type="pct"/>
            <w:tcBorders>
              <w:tl2br w:val="nil"/>
              <w:tr2bl w:val="nil"/>
            </w:tcBorders>
            <w:vAlign w:val="center"/>
          </w:tcPr>
          <w:p w14:paraId="094DEBF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1FD14D4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174FD97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2E2E8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06156F42">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7FE3343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133" w:type="pct"/>
            <w:tcBorders>
              <w:tl2br w:val="nil"/>
              <w:tr2bl w:val="nil"/>
            </w:tcBorders>
            <w:vAlign w:val="center"/>
          </w:tcPr>
          <w:p w14:paraId="60D578E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3B09FB7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T-004</w:t>
            </w:r>
          </w:p>
        </w:tc>
        <w:tc>
          <w:tcPr>
            <w:tcW w:w="897" w:type="pct"/>
            <w:tcBorders>
              <w:tl2br w:val="nil"/>
              <w:tr2bl w:val="nil"/>
            </w:tcBorders>
            <w:vAlign w:val="center"/>
          </w:tcPr>
          <w:p w14:paraId="4A26100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7ABFCA18">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22AA5A2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05A35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32D36A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46AB6CA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14:paraId="34DE9CF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便携式有毒挥发气体分析仪</w:t>
            </w:r>
          </w:p>
        </w:tc>
        <w:tc>
          <w:tcPr>
            <w:tcW w:w="846" w:type="pct"/>
            <w:tcBorders>
              <w:tl2br w:val="nil"/>
              <w:tr2bl w:val="nil"/>
            </w:tcBorders>
            <w:vAlign w:val="center"/>
          </w:tcPr>
          <w:p w14:paraId="0076CA0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T-005</w:t>
            </w:r>
          </w:p>
        </w:tc>
        <w:tc>
          <w:tcPr>
            <w:tcW w:w="897" w:type="pct"/>
            <w:tcBorders>
              <w:tl2br w:val="nil"/>
              <w:tr2bl w:val="nil"/>
            </w:tcBorders>
            <w:vAlign w:val="center"/>
          </w:tcPr>
          <w:p w14:paraId="6B99954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14:paraId="64FCAB4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2024-10-25</w:t>
            </w:r>
          </w:p>
        </w:tc>
        <w:tc>
          <w:tcPr>
            <w:tcW w:w="657" w:type="pct"/>
            <w:tcBorders>
              <w:tl2br w:val="nil"/>
              <w:tr2bl w:val="nil"/>
            </w:tcBorders>
            <w:vAlign w:val="center"/>
          </w:tcPr>
          <w:p w14:paraId="13344D76">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2025-10-24</w:t>
            </w:r>
          </w:p>
        </w:tc>
      </w:tr>
      <w:tr w14:paraId="6A1AE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3959A15F">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279A4A9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14:paraId="1567E38E">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手持气象站</w:t>
            </w:r>
          </w:p>
        </w:tc>
        <w:tc>
          <w:tcPr>
            <w:tcW w:w="846" w:type="pct"/>
            <w:tcBorders>
              <w:tl2br w:val="nil"/>
              <w:tr2bl w:val="nil"/>
            </w:tcBorders>
            <w:vAlign w:val="center"/>
          </w:tcPr>
          <w:p w14:paraId="6C1719E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T-008</w:t>
            </w:r>
          </w:p>
        </w:tc>
        <w:tc>
          <w:tcPr>
            <w:tcW w:w="897" w:type="pct"/>
            <w:tcBorders>
              <w:tl2br w:val="nil"/>
              <w:tr2bl w:val="nil"/>
            </w:tcBorders>
            <w:vAlign w:val="center"/>
          </w:tcPr>
          <w:p w14:paraId="7468CEBA">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WS-30</w:t>
            </w:r>
          </w:p>
        </w:tc>
        <w:tc>
          <w:tcPr>
            <w:tcW w:w="719" w:type="pct"/>
            <w:tcBorders>
              <w:tl2br w:val="nil"/>
              <w:tr2bl w:val="nil"/>
            </w:tcBorders>
            <w:vAlign w:val="center"/>
          </w:tcPr>
          <w:p w14:paraId="68700D04">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2024-06-12</w:t>
            </w:r>
          </w:p>
        </w:tc>
        <w:tc>
          <w:tcPr>
            <w:tcW w:w="657" w:type="pct"/>
            <w:tcBorders>
              <w:tl2br w:val="nil"/>
              <w:tr2bl w:val="nil"/>
            </w:tcBorders>
            <w:vAlign w:val="center"/>
          </w:tcPr>
          <w:p w14:paraId="0FDCD14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2025-06-11</w:t>
            </w:r>
          </w:p>
        </w:tc>
      </w:tr>
      <w:tr w14:paraId="6EE96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14:paraId="067C9D31">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6" w:type="pct"/>
            <w:tcBorders>
              <w:tl2br w:val="nil"/>
              <w:tr2bl w:val="nil"/>
            </w:tcBorders>
            <w:vAlign w:val="center"/>
          </w:tcPr>
          <w:p w14:paraId="645D8FB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14:paraId="0ED9D9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846" w:type="pct"/>
            <w:tcBorders>
              <w:tl2br w:val="nil"/>
              <w:tr2bl w:val="nil"/>
            </w:tcBorders>
            <w:vAlign w:val="center"/>
          </w:tcPr>
          <w:p w14:paraId="35F9EC4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897" w:type="pct"/>
            <w:tcBorders>
              <w:tl2br w:val="nil"/>
              <w:tr2bl w:val="nil"/>
            </w:tcBorders>
            <w:vAlign w:val="center"/>
          </w:tcPr>
          <w:p w14:paraId="4E4C52E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14:paraId="75A53A7C">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14:paraId="6A0D56E0">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14:paraId="5BD46646">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14:paraId="6A352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315845B">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14ED072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133" w:type="pct"/>
            <w:tcBorders>
              <w:tl2br w:val="nil"/>
              <w:tr2bl w:val="nil"/>
            </w:tcBorders>
            <w:vAlign w:val="center"/>
          </w:tcPr>
          <w:p w14:paraId="1F096EF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GBW(E)060500</w:t>
            </w:r>
          </w:p>
        </w:tc>
        <w:tc>
          <w:tcPr>
            <w:tcW w:w="846" w:type="pct"/>
            <w:tcBorders>
              <w:tl2br w:val="nil"/>
              <w:tr2bl w:val="nil"/>
            </w:tcBorders>
            <w:vAlign w:val="center"/>
          </w:tcPr>
          <w:p w14:paraId="3CC676D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2100501026</w:t>
            </w:r>
          </w:p>
        </w:tc>
        <w:tc>
          <w:tcPr>
            <w:tcW w:w="897" w:type="pct"/>
            <w:tcBorders>
              <w:tl2br w:val="nil"/>
              <w:tr2bl w:val="nil"/>
            </w:tcBorders>
            <w:vAlign w:val="center"/>
          </w:tcPr>
          <w:p w14:paraId="302A5F9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0</w:t>
            </w:r>
          </w:p>
        </w:tc>
        <w:tc>
          <w:tcPr>
            <w:tcW w:w="719" w:type="pct"/>
            <w:tcBorders>
              <w:tl2br w:val="nil"/>
              <w:tr2bl w:val="nil"/>
            </w:tcBorders>
            <w:vAlign w:val="center"/>
          </w:tcPr>
          <w:p w14:paraId="15E2715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2024-03-02</w:t>
            </w:r>
          </w:p>
        </w:tc>
        <w:tc>
          <w:tcPr>
            <w:tcW w:w="657" w:type="pct"/>
            <w:tcBorders>
              <w:tl2br w:val="nil"/>
              <w:tr2bl w:val="nil"/>
            </w:tcBorders>
            <w:vAlign w:val="center"/>
          </w:tcPr>
          <w:p w14:paraId="07D88C5D">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2025-03-01</w:t>
            </w:r>
          </w:p>
        </w:tc>
      </w:tr>
      <w:tr w14:paraId="02FFC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620D793D">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EBA3DBF">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133" w:type="pct"/>
            <w:tcBorders>
              <w:tl2br w:val="nil"/>
              <w:tr2bl w:val="nil"/>
            </w:tcBorders>
            <w:vAlign w:val="center"/>
          </w:tcPr>
          <w:p w14:paraId="573B143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vAlign w:val="center"/>
          </w:tcPr>
          <w:p w14:paraId="5742154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2210111012</w:t>
            </w:r>
          </w:p>
        </w:tc>
        <w:tc>
          <w:tcPr>
            <w:tcW w:w="897" w:type="pct"/>
            <w:tcBorders>
              <w:tl2br w:val="nil"/>
              <w:tr2bl w:val="nil"/>
            </w:tcBorders>
            <w:vAlign w:val="center"/>
          </w:tcPr>
          <w:p w14:paraId="6E0D27DB">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200</w:t>
            </w:r>
          </w:p>
        </w:tc>
        <w:tc>
          <w:tcPr>
            <w:tcW w:w="719" w:type="pct"/>
            <w:tcBorders>
              <w:tl2br w:val="nil"/>
              <w:tr2bl w:val="nil"/>
            </w:tcBorders>
            <w:vAlign w:val="center"/>
          </w:tcPr>
          <w:p w14:paraId="5F4144E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vAlign w:val="center"/>
          </w:tcPr>
          <w:p w14:paraId="544DD298">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2025-06-18</w:t>
            </w:r>
          </w:p>
        </w:tc>
      </w:tr>
      <w:tr w14:paraId="66880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5EB80A4A">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6AFD2B5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14:paraId="2C7D17B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vAlign w:val="center"/>
          </w:tcPr>
          <w:p w14:paraId="2E291DC1">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FY08061</w:t>
            </w:r>
          </w:p>
        </w:tc>
        <w:tc>
          <w:tcPr>
            <w:tcW w:w="897" w:type="pct"/>
            <w:tcBorders>
              <w:tl2br w:val="nil"/>
              <w:tr2bl w:val="nil"/>
            </w:tcBorders>
            <w:vAlign w:val="center"/>
          </w:tcPr>
          <w:p w14:paraId="03E57137">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501</w:t>
            </w:r>
          </w:p>
        </w:tc>
        <w:tc>
          <w:tcPr>
            <w:tcW w:w="719" w:type="pct"/>
            <w:tcBorders>
              <w:tl2br w:val="nil"/>
              <w:tr2bl w:val="nil"/>
            </w:tcBorders>
            <w:vAlign w:val="center"/>
          </w:tcPr>
          <w:p w14:paraId="27A557A3">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vAlign w:val="center"/>
          </w:tcPr>
          <w:p w14:paraId="452F8F0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2025-06-18</w:t>
            </w:r>
          </w:p>
        </w:tc>
      </w:tr>
      <w:tr w14:paraId="17B0AB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14:paraId="7A02F0E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14:paraId="303BC049">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14:paraId="0D83D035">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GBW(E)062617</w:t>
            </w:r>
          </w:p>
        </w:tc>
        <w:tc>
          <w:tcPr>
            <w:tcW w:w="846" w:type="pct"/>
            <w:tcBorders>
              <w:tl2br w:val="nil"/>
              <w:tr2bl w:val="nil"/>
            </w:tcBorders>
            <w:vAlign w:val="center"/>
          </w:tcPr>
          <w:p w14:paraId="32625321">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72903061</w:t>
            </w:r>
          </w:p>
        </w:tc>
        <w:tc>
          <w:tcPr>
            <w:tcW w:w="897" w:type="pct"/>
            <w:tcBorders>
              <w:tl2br w:val="nil"/>
              <w:tr2bl w:val="nil"/>
            </w:tcBorders>
            <w:vAlign w:val="center"/>
          </w:tcPr>
          <w:p w14:paraId="31E046B4">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10000</w:t>
            </w:r>
          </w:p>
        </w:tc>
        <w:tc>
          <w:tcPr>
            <w:tcW w:w="719" w:type="pct"/>
            <w:tcBorders>
              <w:tl2br w:val="nil"/>
              <w:tr2bl w:val="nil"/>
            </w:tcBorders>
            <w:vAlign w:val="center"/>
          </w:tcPr>
          <w:p w14:paraId="63EC0FA5">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2024-06-19</w:t>
            </w:r>
          </w:p>
        </w:tc>
        <w:tc>
          <w:tcPr>
            <w:tcW w:w="657" w:type="pct"/>
            <w:tcBorders>
              <w:tl2br w:val="nil"/>
              <w:tr2bl w:val="nil"/>
            </w:tcBorders>
            <w:vAlign w:val="center"/>
          </w:tcPr>
          <w:p w14:paraId="1CC63D6B">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2025-06-18</w:t>
            </w:r>
          </w:p>
        </w:tc>
      </w:tr>
    </w:tbl>
    <w:p w14:paraId="6D688725">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p w14:paraId="04A7949D">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14049"/>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3"/>
      <w:bookmarkEnd w:id="64"/>
      <w:bookmarkEnd w:id="65"/>
      <w:bookmarkEnd w:id="66"/>
      <w:bookmarkEnd w:id="67"/>
    </w:p>
    <w:p w14:paraId="065BC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14:paraId="71A89900">
      <w:pPr>
        <w:rPr>
          <w:rFonts w:hint="eastAsia" w:asciiTheme="majorEastAsia" w:hAnsiTheme="majorEastAsia" w:eastAsiaTheme="majorEastAsia" w:cstheme="majorEastAsia"/>
          <w:lang w:val="en-US" w:eastAsia="zh-CN"/>
        </w:rPr>
      </w:pPr>
    </w:p>
    <w:p w14:paraId="251B4B4A">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8" w:name="_Toc25398"/>
      <w:r>
        <w:rPr>
          <w:rFonts w:hint="eastAsia" w:asciiTheme="majorEastAsia" w:hAnsiTheme="majorEastAsia" w:eastAsiaTheme="majorEastAsia" w:cstheme="majorEastAsia"/>
          <w:lang w:val="en-US" w:eastAsia="zh-CN"/>
        </w:rPr>
        <w:t>3.3 现场检测记录</w:t>
      </w:r>
      <w:bookmarkEnd w:id="68"/>
    </w:p>
    <w:p w14:paraId="7ECD42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14:paraId="6986EEFF">
      <w:pPr>
        <w:pStyle w:val="4"/>
        <w:numPr>
          <w:ilvl w:val="1"/>
          <w:numId w:val="0"/>
        </w:numPr>
        <w:bidi w:val="0"/>
        <w:ind w:leftChars="0"/>
        <w:rPr>
          <w:rFonts w:hint="eastAsia" w:asciiTheme="majorEastAsia" w:hAnsiTheme="majorEastAsia" w:eastAsiaTheme="majorEastAsia" w:cstheme="majorEastAsia"/>
          <w:lang w:val="en-US" w:eastAsia="zh-CN"/>
        </w:rPr>
      </w:pPr>
      <w:bookmarkStart w:id="69" w:name="_Toc20441"/>
      <w:r>
        <w:rPr>
          <w:rFonts w:hint="eastAsia" w:asciiTheme="majorEastAsia" w:hAnsiTheme="majorEastAsia" w:eastAsiaTheme="majorEastAsia" w:cstheme="majorEastAsia"/>
          <w:lang w:val="en-US" w:eastAsia="zh-CN"/>
        </w:rPr>
        <w:t>3.4现场检测情况录入企业LDAR软件管理系统</w:t>
      </w:r>
      <w:bookmarkEnd w:id="69"/>
    </w:p>
    <w:p w14:paraId="34E4D6D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14:paraId="26493069">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14:paraId="624961F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14:paraId="49952757">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14:paraId="7CB78D53">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14:paraId="4FDA12F0">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14:paraId="7D4C2D4B">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14:paraId="569E896C">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14:paraId="17823AA6">
      <w:pPr>
        <w:pStyle w:val="6"/>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70" w:name="_Toc16051"/>
      <w:bookmarkStart w:id="71" w:name="_Toc31257"/>
      <w:bookmarkStart w:id="72" w:name="_Toc3"/>
      <w:bookmarkStart w:id="73" w:name="_Toc13170"/>
    </w:p>
    <w:p w14:paraId="3D84C367">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4" w:name="_Toc22330"/>
      <w:r>
        <w:rPr>
          <w:rFonts w:hint="eastAsia" w:asciiTheme="majorEastAsia" w:hAnsiTheme="majorEastAsia" w:eastAsiaTheme="majorEastAsia" w:cstheme="majorEastAsia"/>
          <w:b/>
          <w:bCs/>
          <w:color w:val="auto"/>
          <w:lang w:val="en-US" w:eastAsia="zh-CN"/>
        </w:rPr>
        <w:t>4.泄漏</w:t>
      </w:r>
      <w:bookmarkEnd w:id="70"/>
      <w:bookmarkEnd w:id="71"/>
      <w:bookmarkEnd w:id="72"/>
      <w:bookmarkEnd w:id="73"/>
      <w:r>
        <w:rPr>
          <w:rFonts w:hint="eastAsia" w:asciiTheme="majorEastAsia" w:hAnsiTheme="majorEastAsia" w:eastAsiaTheme="majorEastAsia" w:cstheme="majorEastAsia"/>
          <w:b/>
          <w:bCs/>
          <w:color w:val="auto"/>
          <w:lang w:val="en-US" w:eastAsia="zh-CN"/>
        </w:rPr>
        <w:t>检测</w:t>
      </w:r>
      <w:bookmarkEnd w:id="74"/>
    </w:p>
    <w:p w14:paraId="1785B91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14:paraId="084257C7">
      <w:pPr>
        <w:pStyle w:val="4"/>
        <w:numPr>
          <w:ilvl w:val="1"/>
          <w:numId w:val="0"/>
        </w:numPr>
        <w:bidi w:val="0"/>
        <w:ind w:leftChars="0"/>
        <w:rPr>
          <w:rFonts w:hint="eastAsia" w:asciiTheme="majorEastAsia" w:hAnsiTheme="majorEastAsia" w:eastAsiaTheme="majorEastAsia" w:cstheme="majorEastAsia"/>
          <w:lang w:val="en-US" w:eastAsia="zh-CN"/>
        </w:rPr>
      </w:pPr>
      <w:bookmarkStart w:id="75" w:name="_Toc28174"/>
      <w:bookmarkStart w:id="76" w:name="_Toc30508"/>
      <w:bookmarkStart w:id="77" w:name="_Toc16907"/>
      <w:bookmarkStart w:id="78" w:name="_Toc16343"/>
      <w:bookmarkStart w:id="79" w:name="_Toc12975"/>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5"/>
      <w:bookmarkEnd w:id="76"/>
      <w:bookmarkEnd w:id="77"/>
      <w:bookmarkEnd w:id="78"/>
      <w:bookmarkEnd w:id="79"/>
    </w:p>
    <w:tbl>
      <w:tblPr>
        <w:tblStyle w:val="14"/>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270"/>
        <w:gridCol w:w="1456"/>
        <w:gridCol w:w="1325"/>
        <w:gridCol w:w="1646"/>
        <w:gridCol w:w="1567"/>
      </w:tblGrid>
      <w:tr w14:paraId="66D43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14:paraId="0EB957CB">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装置名称</w:t>
            </w:r>
          </w:p>
        </w:tc>
        <w:tc>
          <w:tcPr>
            <w:tcW w:w="1270" w:type="dxa"/>
            <w:tcBorders>
              <w:tl2br w:val="nil"/>
              <w:tr2bl w:val="nil"/>
            </w:tcBorders>
            <w:shd w:val="clear" w:color="auto" w:fill="auto"/>
            <w:vAlign w:val="center"/>
          </w:tcPr>
          <w:p w14:paraId="6C497A8D">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456" w:type="dxa"/>
            <w:tcBorders>
              <w:tl2br w:val="nil"/>
              <w:tr2bl w:val="nil"/>
            </w:tcBorders>
            <w:shd w:val="clear" w:color="auto" w:fill="auto"/>
            <w:vAlign w:val="center"/>
          </w:tcPr>
          <w:p w14:paraId="18A9E7B3">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325" w:type="dxa"/>
            <w:tcBorders>
              <w:tl2br w:val="nil"/>
              <w:tr2bl w:val="nil"/>
            </w:tcBorders>
            <w:shd w:val="clear" w:color="auto" w:fill="auto"/>
            <w:vAlign w:val="center"/>
          </w:tcPr>
          <w:p w14:paraId="6C671C1A">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646" w:type="dxa"/>
            <w:tcBorders>
              <w:tl2br w:val="nil"/>
              <w:tr2bl w:val="nil"/>
            </w:tcBorders>
            <w:shd w:val="clear" w:color="auto" w:fill="auto"/>
            <w:vAlign w:val="center"/>
          </w:tcPr>
          <w:p w14:paraId="00A1875E">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1567" w:type="dxa"/>
            <w:tcBorders>
              <w:tl2br w:val="nil"/>
              <w:tr2bl w:val="nil"/>
            </w:tcBorders>
            <w:shd w:val="clear" w:color="auto" w:fill="auto"/>
            <w:vAlign w:val="center"/>
          </w:tcPr>
          <w:p w14:paraId="3FDC8985">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14:paraId="5F26C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2A817D06">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bookmarkStart w:id="80" w:name="_Toc27149"/>
            <w:bookmarkStart w:id="81" w:name="_Toc4572"/>
            <w:bookmarkStart w:id="82" w:name="_Toc17053"/>
            <w:bookmarkStart w:id="83" w:name="_Toc13495"/>
            <w:r>
              <w:rPr>
                <w:rFonts w:hint="eastAsia" w:asciiTheme="minorEastAsia" w:hAnsiTheme="minorEastAsia" w:eastAsiaTheme="minorEastAsia" w:cstheme="minorEastAsia"/>
                <w:color w:val="auto"/>
                <w:lang w:val="en-US" w:eastAsia="zh-CN"/>
              </w:rPr>
              <w:t>PAM水合工序</w:t>
            </w:r>
          </w:p>
        </w:tc>
        <w:tc>
          <w:tcPr>
            <w:tcW w:w="1270" w:type="dxa"/>
            <w:tcBorders>
              <w:tl2br w:val="nil"/>
              <w:tr2bl w:val="nil"/>
            </w:tcBorders>
            <w:vAlign w:val="center"/>
          </w:tcPr>
          <w:p w14:paraId="6943E4A9">
            <w:pPr>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143</w:t>
            </w:r>
          </w:p>
        </w:tc>
        <w:tc>
          <w:tcPr>
            <w:tcW w:w="1456" w:type="dxa"/>
            <w:tcBorders>
              <w:tl2br w:val="nil"/>
              <w:tr2bl w:val="nil"/>
            </w:tcBorders>
            <w:vAlign w:val="center"/>
          </w:tcPr>
          <w:p w14:paraId="5E5E88E8">
            <w:pPr>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143</w:t>
            </w:r>
          </w:p>
        </w:tc>
        <w:tc>
          <w:tcPr>
            <w:tcW w:w="1325" w:type="dxa"/>
            <w:tcBorders>
              <w:tl2br w:val="nil"/>
              <w:tr2bl w:val="nil"/>
            </w:tcBorders>
            <w:vAlign w:val="center"/>
          </w:tcPr>
          <w:p w14:paraId="252AD9A4">
            <w:pPr>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646" w:type="dxa"/>
            <w:tcBorders>
              <w:tl2br w:val="nil"/>
              <w:tr2bl w:val="nil"/>
            </w:tcBorders>
            <w:vAlign w:val="center"/>
          </w:tcPr>
          <w:p w14:paraId="63F5BE89">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262626" w:themeColor="text1" w:themeTint="D9"/>
                <w:highlight w:val="none"/>
                <w:lang w:val="en-US" w:eastAsia="zh-CN"/>
                <w14:textFill>
                  <w14:solidFill>
                    <w14:schemeClr w14:val="tx1">
                      <w14:lumMod w14:val="85000"/>
                      <w14:lumOff w14:val="15000"/>
                    </w14:schemeClr>
                  </w14:solidFill>
                </w14:textFill>
              </w:rPr>
              <w:t>1</w:t>
            </w:r>
          </w:p>
        </w:tc>
        <w:tc>
          <w:tcPr>
            <w:tcW w:w="1567" w:type="dxa"/>
            <w:tcBorders>
              <w:tl2br w:val="nil"/>
              <w:tr2bl w:val="nil"/>
            </w:tcBorders>
            <w:vAlign w:val="center"/>
          </w:tcPr>
          <w:p w14:paraId="6B626B5A">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42D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07B84392">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储运装置</w:t>
            </w:r>
          </w:p>
        </w:tc>
        <w:tc>
          <w:tcPr>
            <w:tcW w:w="1270" w:type="dxa"/>
            <w:tcBorders>
              <w:tl2br w:val="nil"/>
              <w:tr2bl w:val="nil"/>
            </w:tcBorders>
            <w:vAlign w:val="center"/>
          </w:tcPr>
          <w:p w14:paraId="16424594">
            <w:pPr>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162</w:t>
            </w:r>
          </w:p>
        </w:tc>
        <w:tc>
          <w:tcPr>
            <w:tcW w:w="1456" w:type="dxa"/>
            <w:tcBorders>
              <w:tl2br w:val="nil"/>
              <w:tr2bl w:val="nil"/>
            </w:tcBorders>
            <w:vAlign w:val="center"/>
          </w:tcPr>
          <w:p w14:paraId="31C8FEA1">
            <w:pPr>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sz w:val="21"/>
                <w:szCs w:val="21"/>
                <w:lang w:val="en-US" w:eastAsia="zh-CN"/>
              </w:rPr>
              <w:t>162</w:t>
            </w:r>
          </w:p>
        </w:tc>
        <w:tc>
          <w:tcPr>
            <w:tcW w:w="1325" w:type="dxa"/>
            <w:tcBorders>
              <w:tl2br w:val="nil"/>
              <w:tr2bl w:val="nil"/>
            </w:tcBorders>
            <w:vAlign w:val="center"/>
          </w:tcPr>
          <w:p w14:paraId="4546390E">
            <w:pPr>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inorEastAsia" w:hAnsiTheme="minorEastAsia" w:eastAsiaTheme="minorEastAsia" w:cstheme="minorEastAsia"/>
                <w:bCs/>
                <w:sz w:val="21"/>
                <w:szCs w:val="21"/>
                <w:lang w:val="en-US" w:eastAsia="zh-CN"/>
              </w:rPr>
              <w:t>0</w:t>
            </w:r>
          </w:p>
        </w:tc>
        <w:tc>
          <w:tcPr>
            <w:tcW w:w="1646" w:type="dxa"/>
            <w:tcBorders>
              <w:tl2br w:val="nil"/>
              <w:tr2bl w:val="nil"/>
            </w:tcBorders>
            <w:vAlign w:val="center"/>
          </w:tcPr>
          <w:p w14:paraId="6644D423">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0</w:t>
            </w:r>
          </w:p>
        </w:tc>
        <w:tc>
          <w:tcPr>
            <w:tcW w:w="1567" w:type="dxa"/>
            <w:tcBorders>
              <w:tl2br w:val="nil"/>
              <w:tr2bl w:val="nil"/>
            </w:tcBorders>
            <w:vAlign w:val="center"/>
          </w:tcPr>
          <w:p w14:paraId="7750CBC6">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r w14:paraId="566D9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14:paraId="10BE2396">
            <w:pPr>
              <w:pStyle w:val="26"/>
              <w:ind w:firstLine="0" w:firstLineChars="0"/>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color w:val="auto"/>
                <w:lang w:val="en-US" w:eastAsia="zh-CN"/>
              </w:rPr>
              <w:t>合计</w:t>
            </w:r>
          </w:p>
        </w:tc>
        <w:tc>
          <w:tcPr>
            <w:tcW w:w="1270" w:type="dxa"/>
            <w:tcBorders>
              <w:tl2br w:val="nil"/>
              <w:tr2bl w:val="nil"/>
            </w:tcBorders>
            <w:vAlign w:val="center"/>
          </w:tcPr>
          <w:p w14:paraId="6185CD57">
            <w:pPr>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sz w:val="21"/>
                <w:szCs w:val="21"/>
                <w:lang w:val="en-US" w:eastAsia="zh-CN"/>
              </w:rPr>
              <w:t>305</w:t>
            </w:r>
          </w:p>
        </w:tc>
        <w:tc>
          <w:tcPr>
            <w:tcW w:w="1456" w:type="dxa"/>
            <w:tcBorders>
              <w:tl2br w:val="nil"/>
              <w:tr2bl w:val="nil"/>
            </w:tcBorders>
            <w:vAlign w:val="center"/>
          </w:tcPr>
          <w:p w14:paraId="6C509A34">
            <w:pPr>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inorEastAsia" w:hAnsiTheme="minorEastAsia" w:eastAsiaTheme="minorEastAsia" w:cstheme="minorEastAsia"/>
                <w:sz w:val="21"/>
                <w:szCs w:val="21"/>
                <w:lang w:val="en-US" w:eastAsia="zh-CN"/>
              </w:rPr>
              <w:t>305</w:t>
            </w:r>
          </w:p>
        </w:tc>
        <w:tc>
          <w:tcPr>
            <w:tcW w:w="1325" w:type="dxa"/>
            <w:tcBorders>
              <w:tl2br w:val="nil"/>
              <w:tr2bl w:val="nil"/>
            </w:tcBorders>
            <w:vAlign w:val="center"/>
          </w:tcPr>
          <w:p w14:paraId="0A83267B">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sz w:val="21"/>
                <w:szCs w:val="21"/>
                <w:lang w:val="en-US" w:eastAsia="zh-CN"/>
              </w:rPr>
              <w:t>0</w:t>
            </w:r>
          </w:p>
        </w:tc>
        <w:tc>
          <w:tcPr>
            <w:tcW w:w="1646" w:type="dxa"/>
            <w:tcBorders>
              <w:tl2br w:val="nil"/>
              <w:tr2bl w:val="nil"/>
            </w:tcBorders>
            <w:vAlign w:val="center"/>
          </w:tcPr>
          <w:p w14:paraId="3FF62ACF">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1</w:t>
            </w:r>
          </w:p>
        </w:tc>
        <w:tc>
          <w:tcPr>
            <w:tcW w:w="1567" w:type="dxa"/>
            <w:tcBorders>
              <w:tl2br w:val="nil"/>
              <w:tr2bl w:val="nil"/>
            </w:tcBorders>
            <w:vAlign w:val="center"/>
          </w:tcPr>
          <w:p w14:paraId="2E4B4CD0">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inorEastAsia" w:hAnsiTheme="minorEastAsia" w:eastAsiaTheme="minorEastAsia" w:cstheme="minorEastAsia"/>
                <w:bCs/>
                <w:color w:val="auto"/>
                <w:sz w:val="21"/>
                <w:szCs w:val="21"/>
                <w:lang w:val="en-US" w:eastAsia="zh-CN"/>
              </w:rPr>
              <w:t>0</w:t>
            </w:r>
          </w:p>
        </w:tc>
      </w:tr>
    </w:tbl>
    <w:p w14:paraId="03656D18">
      <w:pPr>
        <w:pStyle w:val="4"/>
        <w:numPr>
          <w:ilvl w:val="1"/>
          <w:numId w:val="0"/>
        </w:numPr>
        <w:bidi w:val="0"/>
        <w:ind w:leftChars="0"/>
        <w:rPr>
          <w:rFonts w:hint="eastAsia" w:asciiTheme="majorEastAsia" w:hAnsiTheme="majorEastAsia" w:eastAsiaTheme="majorEastAsia" w:cstheme="majorEastAsia"/>
          <w:lang w:val="en-US" w:eastAsia="zh-CN"/>
        </w:rPr>
      </w:pPr>
    </w:p>
    <w:p w14:paraId="2B3EF8D1">
      <w:pPr>
        <w:pStyle w:val="4"/>
        <w:numPr>
          <w:ilvl w:val="1"/>
          <w:numId w:val="0"/>
        </w:numPr>
        <w:bidi w:val="0"/>
        <w:ind w:leftChars="0"/>
        <w:rPr>
          <w:rFonts w:hint="eastAsia" w:asciiTheme="majorEastAsia" w:hAnsiTheme="majorEastAsia" w:eastAsiaTheme="majorEastAsia" w:cstheme="majorEastAsia"/>
          <w:lang w:val="en-US" w:eastAsia="zh-CN"/>
        </w:rPr>
      </w:pPr>
      <w:bookmarkStart w:id="84" w:name="_Toc32564"/>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80"/>
      <w:bookmarkEnd w:id="81"/>
      <w:bookmarkEnd w:id="82"/>
      <w:bookmarkEnd w:id="83"/>
      <w:bookmarkEnd w:id="84"/>
    </w:p>
    <w:p w14:paraId="76D25720">
      <w:pPr>
        <w:pStyle w:val="4"/>
        <w:numPr>
          <w:ilvl w:val="1"/>
          <w:numId w:val="0"/>
        </w:numPr>
        <w:bidi w:val="0"/>
        <w:ind w:leftChars="0"/>
        <w:rPr>
          <w:rFonts w:hint="eastAsia" w:asciiTheme="majorEastAsia" w:hAnsiTheme="majorEastAsia" w:eastAsiaTheme="majorEastAsia" w:cstheme="majorEastAsia"/>
        </w:rPr>
      </w:pPr>
      <w:bookmarkStart w:id="85" w:name="_Toc20510"/>
      <w:bookmarkStart w:id="86" w:name="_Toc18147"/>
      <w:bookmarkStart w:id="87" w:name="_Toc29307"/>
      <w:bookmarkStart w:id="88" w:name="_Toc30668"/>
      <w:bookmarkStart w:id="89" w:name="_Toc8679"/>
      <w:r>
        <w:rPr>
          <w:rFonts w:hint="eastAsia" w:asciiTheme="majorEastAsia" w:hAnsiTheme="majorEastAsia" w:eastAsiaTheme="majorEastAsia" w:cstheme="majorEastAsia"/>
        </w:rPr>
        <w:t>泄漏点维修规定</w:t>
      </w:r>
      <w:bookmarkEnd w:id="85"/>
      <w:bookmarkEnd w:id="86"/>
      <w:bookmarkEnd w:id="87"/>
      <w:bookmarkEnd w:id="88"/>
      <w:bookmarkEnd w:id="89"/>
    </w:p>
    <w:p w14:paraId="3506863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14:paraId="5D792F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14:paraId="46D60C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14:paraId="1BAA7E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14:paraId="5D5E68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14:paraId="1E8469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14:paraId="056F98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14:paraId="36E3A3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14:paraId="3328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14:paraId="3CE8E5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14:paraId="05DD5C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14:paraId="5230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14:paraId="71637C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14:paraId="660FFF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14:paraId="1CC743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14:paraId="6419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3B040B2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14:paraId="42CA43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14:paraId="4233C4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14:paraId="5025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14:paraId="7F59A8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14:paraId="3B7AA0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14:paraId="278555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14:paraId="4845151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14:paraId="279C49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14:paraId="278C32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14:paraId="467A091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14:paraId="58BE52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14:paraId="0C4A20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14:paraId="015264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14:paraId="3FD65D70">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90" w:name="_Toc29239"/>
      <w:r>
        <w:rPr>
          <w:rFonts w:hint="eastAsia" w:asciiTheme="majorEastAsia" w:hAnsiTheme="majorEastAsia" w:eastAsiaTheme="majorEastAsia" w:cstheme="majorEastAsia"/>
          <w:lang w:val="en-US" w:eastAsia="zh-CN"/>
        </w:rPr>
        <w:t>4.3排放量、泄漏量统计</w:t>
      </w:r>
      <w:bookmarkEnd w:id="90"/>
    </w:p>
    <w:p w14:paraId="6A0C22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14:paraId="6B8E2A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14:paraId="093575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14:paraId="4A4AC7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14:paraId="4BE0CB0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14:paraId="3BD5F6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14:paraId="6C9FE3FD">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14:paraId="04BE4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14:paraId="605FE75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14:paraId="6B0C407A">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14:paraId="73D1E23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14:paraId="2A992AB5">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14:paraId="7EDC9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14:paraId="3B09967F">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14:paraId="7FAC0534">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14:paraId="093476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14:paraId="72283895">
            <w:pPr>
              <w:widowControl/>
              <w:jc w:val="left"/>
              <w:rPr>
                <w:rFonts w:hint="eastAsia" w:asciiTheme="majorEastAsia" w:hAnsiTheme="majorEastAsia" w:eastAsiaTheme="majorEastAsia" w:cstheme="majorEastAsia"/>
                <w:b w:val="0"/>
                <w:bCs w:val="0"/>
                <w:color w:val="000000"/>
                <w:kern w:val="0"/>
                <w:sz w:val="21"/>
                <w:szCs w:val="21"/>
              </w:rPr>
            </w:pPr>
          </w:p>
        </w:tc>
      </w:tr>
      <w:tr w14:paraId="0AD7F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6FF9FD99">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14:paraId="5D4CB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4D32A3B">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14:paraId="0AE94F2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14:paraId="2A1988FE">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14:paraId="60D03B60">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14:paraId="5F243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1ECB3AD">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14:paraId="265907D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14:paraId="7C3DDAB3">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14:paraId="03A0FD8C">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14:paraId="271C4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EA075D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14:paraId="0EE15A1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14:paraId="3F096CA2">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390A845C">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14:paraId="13CB7F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6E0504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11CEFD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7FCE28B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14:paraId="3D04B56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14:paraId="384BD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7A96D5E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14:paraId="36EE004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14:paraId="6DDBCF0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14:paraId="745802F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14:paraId="71942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49B6D12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14:paraId="007529E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14:paraId="79E66E3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14:paraId="5864B4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14:paraId="2C19C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14:paraId="43061777">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14:paraId="4EEF5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2D0351B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14:paraId="6E627526">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14:paraId="0FD65FA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14:paraId="5A3D4243">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14:paraId="65278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3F4778A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14:paraId="7FAD643D">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14:paraId="12062065">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14:paraId="4CB0D37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14:paraId="20EAD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8919521">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14:paraId="46EC6CAA">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14:paraId="2FFC1E2B">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14:paraId="29A912CF">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14:paraId="6A37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14:paraId="14F8C4C8">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14:paraId="134C5C84">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14:paraId="4FF99099">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14:paraId="06FA510E">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14:paraId="47B2C2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14:paraId="47E92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14:paraId="0641A7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14:paraId="3D914D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14:paraId="0669015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14:paraId="4107873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14:paraId="4B1977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根据物料状态（气体、轻液体、重液体）、密封类型以及 TOC、VOCs 和 CH4的质量分数，采用平均排放系数法核算排放速率。 </w:t>
      </w:r>
    </w:p>
    <w:p w14:paraId="0939CA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14:paraId="05E6E7D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14:paraId="2DDC80B8">
      <w:pPr>
        <w:pStyle w:val="6"/>
        <w:rPr>
          <w:rFonts w:hint="eastAsia" w:asciiTheme="majorEastAsia" w:hAnsiTheme="majorEastAsia" w:eastAsiaTheme="majorEastAsia" w:cstheme="majorEastAsia"/>
          <w:sz w:val="21"/>
          <w:szCs w:val="21"/>
        </w:rPr>
      </w:pPr>
    </w:p>
    <w:p w14:paraId="26DC212F">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3"/>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14:paraId="3CD69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14:paraId="2E9010BA">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14:paraId="784207D3">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14:paraId="05FF8FAE">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14:paraId="0F605966">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14:paraId="1BC6CE5A">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14:paraId="59BDA7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4C8BD6F7">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2175" w:type="dxa"/>
            <w:tcBorders>
              <w:tl2br w:val="nil"/>
              <w:tr2bl w:val="nil"/>
            </w:tcBorders>
            <w:shd w:val="clear" w:color="auto" w:fill="auto"/>
            <w:tcMar>
              <w:top w:w="15" w:type="dxa"/>
              <w:left w:w="15" w:type="dxa"/>
              <w:right w:w="15" w:type="dxa"/>
            </w:tcMar>
            <w:vAlign w:val="center"/>
          </w:tcPr>
          <w:p w14:paraId="07CAFFBC">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auto"/>
                <w:lang w:val="en-US" w:eastAsia="zh-CN"/>
              </w:rPr>
              <w:t>PAM水合工序</w:t>
            </w:r>
          </w:p>
        </w:tc>
        <w:tc>
          <w:tcPr>
            <w:tcW w:w="1236" w:type="pct"/>
            <w:tcBorders>
              <w:tl2br w:val="nil"/>
              <w:tr2bl w:val="nil"/>
            </w:tcBorders>
            <w:shd w:val="clear" w:color="auto" w:fill="auto"/>
            <w:tcMar>
              <w:top w:w="15" w:type="dxa"/>
              <w:left w:w="15" w:type="dxa"/>
              <w:right w:w="15" w:type="dxa"/>
            </w:tcMar>
            <w:vAlign w:val="center"/>
          </w:tcPr>
          <w:p w14:paraId="00692F1A">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11.32</w:t>
            </w:r>
          </w:p>
        </w:tc>
        <w:tc>
          <w:tcPr>
            <w:tcW w:w="1288" w:type="pct"/>
            <w:tcBorders>
              <w:tl2br w:val="nil"/>
              <w:tr2bl w:val="nil"/>
            </w:tcBorders>
            <w:shd w:val="clear" w:color="auto" w:fill="auto"/>
            <w:tcMar>
              <w:top w:w="15" w:type="dxa"/>
              <w:left w:w="15" w:type="dxa"/>
              <w:right w:w="15" w:type="dxa"/>
            </w:tcMar>
            <w:vAlign w:val="center"/>
          </w:tcPr>
          <w:p w14:paraId="7F223374">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6.15</w:t>
            </w:r>
          </w:p>
        </w:tc>
        <w:tc>
          <w:tcPr>
            <w:tcW w:w="961" w:type="pct"/>
            <w:tcBorders>
              <w:tl2br w:val="nil"/>
              <w:tr2bl w:val="nil"/>
            </w:tcBorders>
            <w:shd w:val="clear" w:color="auto" w:fill="auto"/>
            <w:tcMar>
              <w:top w:w="15" w:type="dxa"/>
              <w:left w:w="15" w:type="dxa"/>
              <w:right w:w="15" w:type="dxa"/>
            </w:tcMar>
            <w:vAlign w:val="center"/>
          </w:tcPr>
          <w:p w14:paraId="3475545E">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5.17</w:t>
            </w:r>
          </w:p>
        </w:tc>
      </w:tr>
      <w:tr w14:paraId="043757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FBA55B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2175" w:type="dxa"/>
            <w:tcBorders>
              <w:tl2br w:val="nil"/>
              <w:tr2bl w:val="nil"/>
            </w:tcBorders>
            <w:shd w:val="clear" w:color="auto" w:fill="auto"/>
            <w:tcMar>
              <w:top w:w="15" w:type="dxa"/>
              <w:left w:w="15" w:type="dxa"/>
              <w:right w:w="15" w:type="dxa"/>
            </w:tcMar>
            <w:vAlign w:val="center"/>
          </w:tcPr>
          <w:p w14:paraId="4974EC7F">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auto"/>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14:paraId="602C1F5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2.27</w:t>
            </w:r>
          </w:p>
        </w:tc>
        <w:tc>
          <w:tcPr>
            <w:tcW w:w="1288" w:type="pct"/>
            <w:tcBorders>
              <w:tl2br w:val="nil"/>
              <w:tr2bl w:val="nil"/>
            </w:tcBorders>
            <w:shd w:val="clear" w:color="auto" w:fill="auto"/>
            <w:tcMar>
              <w:top w:w="15" w:type="dxa"/>
              <w:left w:w="15" w:type="dxa"/>
              <w:right w:w="15" w:type="dxa"/>
            </w:tcMar>
            <w:vAlign w:val="center"/>
          </w:tcPr>
          <w:p w14:paraId="0CFD41C7">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2.27</w:t>
            </w:r>
          </w:p>
        </w:tc>
        <w:tc>
          <w:tcPr>
            <w:tcW w:w="961" w:type="pct"/>
            <w:tcBorders>
              <w:tl2br w:val="nil"/>
              <w:tr2bl w:val="nil"/>
            </w:tcBorders>
            <w:shd w:val="clear" w:color="auto" w:fill="auto"/>
            <w:tcMar>
              <w:top w:w="15" w:type="dxa"/>
              <w:left w:w="15" w:type="dxa"/>
              <w:right w:w="15" w:type="dxa"/>
            </w:tcMar>
            <w:vAlign w:val="center"/>
          </w:tcPr>
          <w:p w14:paraId="0597087B">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0</w:t>
            </w:r>
          </w:p>
        </w:tc>
      </w:tr>
      <w:tr w14:paraId="21D17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14:paraId="5333B01C">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14:paraId="75E61568">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14:paraId="3E3F502F">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13.59</w:t>
            </w:r>
          </w:p>
        </w:tc>
        <w:tc>
          <w:tcPr>
            <w:tcW w:w="1288" w:type="pct"/>
            <w:tcBorders>
              <w:tl2br w:val="nil"/>
              <w:tr2bl w:val="nil"/>
            </w:tcBorders>
            <w:shd w:val="clear" w:color="auto" w:fill="auto"/>
            <w:tcMar>
              <w:top w:w="15" w:type="dxa"/>
              <w:left w:w="15" w:type="dxa"/>
              <w:right w:w="15" w:type="dxa"/>
            </w:tcMar>
            <w:vAlign w:val="center"/>
          </w:tcPr>
          <w:p w14:paraId="2FC957E3">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8.42</w:t>
            </w:r>
          </w:p>
        </w:tc>
        <w:tc>
          <w:tcPr>
            <w:tcW w:w="961" w:type="pct"/>
            <w:tcBorders>
              <w:tl2br w:val="nil"/>
              <w:tr2bl w:val="nil"/>
            </w:tcBorders>
            <w:shd w:val="clear" w:color="auto" w:fill="auto"/>
            <w:tcMar>
              <w:top w:w="15" w:type="dxa"/>
              <w:left w:w="15" w:type="dxa"/>
              <w:right w:w="15" w:type="dxa"/>
            </w:tcMar>
            <w:vAlign w:val="center"/>
          </w:tcPr>
          <w:p w14:paraId="051C5712">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5.17</w:t>
            </w:r>
          </w:p>
        </w:tc>
      </w:tr>
    </w:tbl>
    <w:p w14:paraId="5B92D6D5">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14:paraId="39E2089B">
      <w:pPr>
        <w:pStyle w:val="4"/>
        <w:numPr>
          <w:ilvl w:val="1"/>
          <w:numId w:val="0"/>
        </w:numPr>
        <w:bidi w:val="0"/>
        <w:ind w:leftChars="0"/>
        <w:rPr>
          <w:rFonts w:hint="eastAsia" w:asciiTheme="majorEastAsia" w:hAnsiTheme="majorEastAsia" w:eastAsiaTheme="majorEastAsia" w:cstheme="majorEastAsia"/>
          <w:lang w:val="en-US" w:eastAsia="zh-CN"/>
        </w:rPr>
      </w:pPr>
      <w:bookmarkStart w:id="91" w:name="_Toc9343"/>
      <w:r>
        <w:rPr>
          <w:rFonts w:hint="eastAsia" w:asciiTheme="majorEastAsia" w:hAnsiTheme="majorEastAsia" w:eastAsiaTheme="majorEastAsia" w:cstheme="majorEastAsia"/>
          <w:lang w:val="en-US" w:eastAsia="zh-CN"/>
        </w:rPr>
        <w:t>4.4开展 LDAR 环境效益分析，实施 LDAR 后的效益</w:t>
      </w:r>
      <w:bookmarkEnd w:id="91"/>
    </w:p>
    <w:p w14:paraId="5F578A91">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0F0E1FE8">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14:paraId="7F6AEAE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14:paraId="7D314997">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14:paraId="063C6630">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14:paraId="58F98322">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14:paraId="7C29B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43A34CA6">
      <w:pPr>
        <w:rPr>
          <w:rFonts w:hint="eastAsia" w:asciiTheme="majorEastAsia" w:hAnsiTheme="majorEastAsia" w:eastAsiaTheme="majorEastAsia" w:cstheme="majorEastAsia"/>
          <w:sz w:val="21"/>
          <w:szCs w:val="21"/>
          <w:lang w:bidi="en-US"/>
        </w:rPr>
      </w:pPr>
    </w:p>
    <w:p w14:paraId="43062207">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2" w:name="_Toc13433"/>
      <w:bookmarkStart w:id="93" w:name="_Toc19056"/>
      <w:bookmarkStart w:id="94" w:name="_Toc27060"/>
      <w:bookmarkStart w:id="95" w:name="_Toc23996"/>
      <w:bookmarkStart w:id="96" w:name="_Toc32434"/>
      <w:r>
        <w:rPr>
          <w:rFonts w:hint="eastAsia" w:asciiTheme="majorEastAsia" w:hAnsiTheme="majorEastAsia" w:eastAsiaTheme="majorEastAsia" w:cstheme="majorEastAsia"/>
          <w:color w:val="auto"/>
          <w:lang w:val="en-US" w:eastAsia="zh-CN"/>
        </w:rPr>
        <w:t>5</w:t>
      </w:r>
      <w:bookmarkEnd w:id="92"/>
      <w:bookmarkEnd w:id="93"/>
      <w:bookmarkEnd w:id="94"/>
      <w:bookmarkEnd w:id="95"/>
      <w:r>
        <w:rPr>
          <w:rFonts w:hint="eastAsia" w:asciiTheme="majorEastAsia" w:hAnsiTheme="majorEastAsia" w:eastAsiaTheme="majorEastAsia" w:cstheme="majorEastAsia"/>
          <w:color w:val="auto"/>
          <w:lang w:val="en-US" w:eastAsia="zh-CN"/>
        </w:rPr>
        <w:t>.持续LDAR</w:t>
      </w:r>
      <w:bookmarkEnd w:id="96"/>
    </w:p>
    <w:p w14:paraId="49BA052A">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19686"/>
      <w:r>
        <w:rPr>
          <w:rFonts w:hint="eastAsia" w:asciiTheme="majorEastAsia" w:hAnsiTheme="majorEastAsia" w:eastAsiaTheme="majorEastAsia" w:cstheme="majorEastAsia"/>
          <w:lang w:val="en-US" w:eastAsia="zh-CN"/>
        </w:rPr>
        <w:t>5.1 LDAR环境和经济效益</w:t>
      </w:r>
      <w:bookmarkEnd w:id="97"/>
    </w:p>
    <w:p w14:paraId="331BC7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14:paraId="581BB4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14:paraId="143CC6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14:paraId="67CFE4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14:paraId="5F934B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14:paraId="3DAAA7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14:paraId="7BC67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14:paraId="7458AD37">
      <w:pPr>
        <w:pStyle w:val="4"/>
        <w:numPr>
          <w:ilvl w:val="1"/>
          <w:numId w:val="0"/>
        </w:numPr>
        <w:bidi w:val="0"/>
        <w:ind w:leftChars="0"/>
        <w:rPr>
          <w:rFonts w:hint="eastAsia" w:asciiTheme="majorEastAsia" w:hAnsiTheme="majorEastAsia" w:eastAsiaTheme="majorEastAsia" w:cstheme="majorEastAsia"/>
          <w:lang w:val="en-US" w:eastAsia="zh-CN"/>
        </w:rPr>
      </w:pPr>
      <w:bookmarkStart w:id="98" w:name="_Toc31759"/>
      <w:r>
        <w:rPr>
          <w:rFonts w:hint="eastAsia" w:asciiTheme="majorEastAsia" w:hAnsiTheme="majorEastAsia" w:eastAsiaTheme="majorEastAsia" w:cstheme="majorEastAsia"/>
          <w:lang w:val="en-US" w:eastAsia="zh-CN"/>
        </w:rPr>
        <w:t>5.2下季度LDAR工作计划</w:t>
      </w:r>
      <w:bookmarkEnd w:id="98"/>
    </w:p>
    <w:p w14:paraId="4D4339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14:paraId="522B223E">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6F7FD5C8">
      <w:pPr>
        <w:rPr>
          <w:rFonts w:hint="eastAsia" w:asciiTheme="majorEastAsia" w:hAnsiTheme="majorEastAsia" w:eastAsiaTheme="majorEastAsia" w:cstheme="majorEastAsia"/>
          <w:b w:val="0"/>
          <w:caps w:val="0"/>
          <w:spacing w:val="0"/>
          <w:kern w:val="2"/>
          <w:sz w:val="21"/>
          <w:szCs w:val="21"/>
          <w:lang w:val="en-US" w:eastAsia="zh-CN" w:bidi="en-US"/>
        </w:rPr>
      </w:pPr>
    </w:p>
    <w:p w14:paraId="689DD6CE">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57F075F1">
      <w:pPr>
        <w:pStyle w:val="6"/>
        <w:rPr>
          <w:rFonts w:hint="eastAsia" w:asciiTheme="majorEastAsia" w:hAnsiTheme="majorEastAsia" w:eastAsiaTheme="majorEastAsia" w:cstheme="majorEastAsia"/>
          <w:b w:val="0"/>
          <w:caps w:val="0"/>
          <w:spacing w:val="0"/>
          <w:kern w:val="2"/>
          <w:sz w:val="21"/>
          <w:szCs w:val="21"/>
          <w:lang w:val="en-US" w:eastAsia="zh-CN" w:bidi="en-US"/>
        </w:rPr>
      </w:pPr>
    </w:p>
    <w:p w14:paraId="1B9B9145">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14:paraId="793C3029">
      <w:pPr>
        <w:pStyle w:val="6"/>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2717648">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9" w:name="_Toc3471"/>
      <w:bookmarkStart w:id="100" w:name="_Toc1288"/>
      <w:bookmarkStart w:id="101" w:name="_Toc23871"/>
      <w:bookmarkStart w:id="102" w:name="_Toc31900"/>
      <w:bookmarkStart w:id="103" w:name="_Toc5857"/>
      <w:bookmarkStart w:id="104" w:name="_Toc25776"/>
      <w:bookmarkStart w:id="105" w:name="_Toc20661"/>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山东华油万达化学有限公司2024年第四季度LDAR汇总表</w:t>
      </w:r>
      <w:bookmarkEnd w:id="99"/>
      <w:bookmarkEnd w:id="100"/>
      <w:bookmarkEnd w:id="101"/>
      <w:bookmarkEnd w:id="102"/>
      <w:bookmarkEnd w:id="103"/>
      <w:bookmarkEnd w:id="104"/>
      <w:bookmarkEnd w:id="105"/>
    </w:p>
    <w:p w14:paraId="63B62161">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填表日期：2024年11月14日</w:t>
      </w:r>
      <w:r>
        <w:rPr>
          <w:rFonts w:hint="eastAsia" w:asciiTheme="majorEastAsia" w:hAnsiTheme="majorEastAsia" w:eastAsiaTheme="majorEastAsia" w:cstheme="majorEastAsia"/>
          <w:color w:val="000000"/>
        </w:rPr>
        <w:t xml:space="preserve"> </w:t>
      </w:r>
    </w:p>
    <w:tbl>
      <w:tblPr>
        <w:tblStyle w:val="13"/>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14:paraId="198494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14:paraId="6C3B98BE">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14:paraId="78631CFD">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14:paraId="5BFE8881">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山东华油万达化学有限公司</w:t>
            </w:r>
          </w:p>
        </w:tc>
      </w:tr>
      <w:tr w14:paraId="5EF163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0891DF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0B4BC393">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14:paraId="19A0D004">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14:paraId="538B0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3EBB4F4">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8D1895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14:paraId="59E485E2">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王经理</w:t>
            </w:r>
          </w:p>
        </w:tc>
        <w:tc>
          <w:tcPr>
            <w:tcW w:w="1925" w:type="dxa"/>
            <w:gridSpan w:val="2"/>
            <w:noWrap/>
            <w:vAlign w:val="center"/>
          </w:tcPr>
          <w:p w14:paraId="2A1A905A">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电话</w:t>
            </w:r>
          </w:p>
        </w:tc>
        <w:tc>
          <w:tcPr>
            <w:tcW w:w="2140" w:type="dxa"/>
            <w:noWrap/>
            <w:vAlign w:val="center"/>
          </w:tcPr>
          <w:p w14:paraId="413BC3A2">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SA"/>
              </w:rPr>
              <w:t>18854629321</w:t>
            </w:r>
          </w:p>
        </w:tc>
      </w:tr>
      <w:tr w14:paraId="7615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7C5572A9">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42E419B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14:paraId="11BCC37B">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14:paraId="06ED9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14:paraId="5E439AC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14:paraId="1D951342">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05</w:t>
            </w:r>
            <w:r>
              <w:rPr>
                <w:rFonts w:hint="eastAsia" w:asciiTheme="majorEastAsia" w:hAnsiTheme="majorEastAsia" w:eastAsiaTheme="majorEastAsia" w:cstheme="majorEastAsia"/>
                <w:color w:val="000000"/>
                <w:sz w:val="21"/>
                <w:szCs w:val="21"/>
                <w:lang w:eastAsia="zh-CN"/>
              </w:rPr>
              <w:t>日</w:t>
            </w:r>
          </w:p>
        </w:tc>
      </w:tr>
      <w:tr w14:paraId="30332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3789D92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14:paraId="2C52E136">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14:paraId="56679ABB">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14:paraId="6409EC97">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14:paraId="1BBFCF46">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14:paraId="3D3D9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301B85A0">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4A0CACD5">
            <w:pPr>
              <w:jc w:val="center"/>
              <w:rPr>
                <w:rFonts w:hint="eastAsia"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color w:val="000000"/>
                <w:sz w:val="21"/>
                <w:szCs w:val="21"/>
              </w:rPr>
              <w:t>1</w:t>
            </w:r>
          </w:p>
        </w:tc>
        <w:tc>
          <w:tcPr>
            <w:tcW w:w="3235" w:type="dxa"/>
            <w:gridSpan w:val="3"/>
            <w:noWrap/>
            <w:vAlign w:val="center"/>
          </w:tcPr>
          <w:p w14:paraId="72F4B84C">
            <w:pPr>
              <w:pStyle w:val="26"/>
              <w:ind w:firstLine="0" w:firstLineChars="0"/>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sz w:val="21"/>
                <w:szCs w:val="21"/>
                <w:lang w:val="en-US" w:eastAsia="zh-CN"/>
              </w:rPr>
              <w:t>PAM水合工序</w:t>
            </w:r>
          </w:p>
        </w:tc>
        <w:tc>
          <w:tcPr>
            <w:tcW w:w="1925" w:type="dxa"/>
            <w:gridSpan w:val="2"/>
            <w:noWrap/>
            <w:vAlign w:val="center"/>
          </w:tcPr>
          <w:p w14:paraId="3D24F193">
            <w:pPr>
              <w:pStyle w:val="26"/>
              <w:ind w:firstLine="0" w:firstLineChars="0"/>
              <w:rPr>
                <w:rFonts w:hint="default" w:asciiTheme="majorEastAsia" w:hAnsiTheme="majorEastAsia" w:eastAsiaTheme="majorEastAsia" w:cstheme="majorEastAsia"/>
                <w:bCs/>
                <w:sz w:val="21"/>
                <w:szCs w:val="21"/>
                <w:lang w:val="en-US" w:eastAsia="zh-CN" w:bidi="ar-SA"/>
              </w:rPr>
            </w:pPr>
            <w:r>
              <w:rPr>
                <w:rFonts w:hint="eastAsia" w:asciiTheme="minorEastAsia" w:hAnsiTheme="minorEastAsia" w:eastAsiaTheme="minorEastAsia" w:cstheme="minorEastAsia"/>
                <w:bCs/>
                <w:sz w:val="21"/>
                <w:szCs w:val="21"/>
                <w:lang w:val="en-US" w:eastAsia="zh-CN"/>
              </w:rPr>
              <w:t>143</w:t>
            </w:r>
          </w:p>
        </w:tc>
        <w:tc>
          <w:tcPr>
            <w:tcW w:w="2140" w:type="dxa"/>
            <w:noWrap/>
            <w:vAlign w:val="center"/>
          </w:tcPr>
          <w:p w14:paraId="36767C5B">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14:paraId="104A7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14:paraId="22EBE02F">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14:paraId="5DA421DB">
            <w:pPr>
              <w:jc w:val="center"/>
              <w:rPr>
                <w:rFonts w:hint="eastAsia" w:asciiTheme="majorEastAsia" w:hAnsiTheme="majorEastAsia" w:eastAsiaTheme="majorEastAsia" w:cstheme="majorEastAsia"/>
                <w:color w:val="000000"/>
                <w:sz w:val="21"/>
                <w:szCs w:val="21"/>
              </w:rPr>
            </w:pPr>
            <w:r>
              <w:rPr>
                <w:rFonts w:hint="eastAsia" w:asciiTheme="minorEastAsia" w:hAnsiTheme="minorEastAsia" w:eastAsiaTheme="minorEastAsia" w:cstheme="minorEastAsia"/>
                <w:color w:val="000000"/>
                <w:sz w:val="21"/>
                <w:szCs w:val="21"/>
                <w:lang w:val="en-US" w:eastAsia="zh-CN"/>
              </w:rPr>
              <w:t>2</w:t>
            </w:r>
          </w:p>
        </w:tc>
        <w:tc>
          <w:tcPr>
            <w:tcW w:w="3235" w:type="dxa"/>
            <w:gridSpan w:val="3"/>
            <w:noWrap/>
            <w:vAlign w:val="center"/>
          </w:tcPr>
          <w:p w14:paraId="640B5EEC">
            <w:pPr>
              <w:pStyle w:val="26"/>
              <w:ind w:firstLine="0" w:firstLineChars="0"/>
              <w:rPr>
                <w:rFonts w:hint="eastAsia" w:asciiTheme="majorEastAsia" w:hAnsiTheme="majorEastAsia" w:eastAsiaTheme="majorEastAsia" w:cstheme="majorEastAsia"/>
                <w:sz w:val="21"/>
                <w:szCs w:val="21"/>
                <w:lang w:val="en-US" w:eastAsia="zh-CN"/>
              </w:rPr>
            </w:pPr>
            <w:r>
              <w:rPr>
                <w:rFonts w:hint="eastAsia" w:asciiTheme="minorEastAsia" w:hAnsiTheme="minorEastAsia" w:eastAsiaTheme="minorEastAsia" w:cstheme="minorEastAsia"/>
                <w:sz w:val="21"/>
                <w:szCs w:val="21"/>
                <w:lang w:val="en-US" w:eastAsia="zh-CN"/>
              </w:rPr>
              <w:t>储运装置</w:t>
            </w:r>
          </w:p>
        </w:tc>
        <w:tc>
          <w:tcPr>
            <w:tcW w:w="1925" w:type="dxa"/>
            <w:gridSpan w:val="2"/>
            <w:noWrap/>
            <w:vAlign w:val="center"/>
          </w:tcPr>
          <w:p w14:paraId="638A33C4">
            <w:pPr>
              <w:pStyle w:val="26"/>
              <w:ind w:firstLine="0" w:firstLineChars="0"/>
              <w:rPr>
                <w:rFonts w:hint="default" w:asciiTheme="majorEastAsia" w:hAnsiTheme="majorEastAsia" w:eastAsiaTheme="majorEastAsia" w:cstheme="majorEastAsia"/>
                <w:bCs/>
                <w:color w:val="auto"/>
                <w:sz w:val="21"/>
                <w:szCs w:val="21"/>
                <w:lang w:val="en-US" w:eastAsia="zh-CN" w:bidi="ar-SA"/>
              </w:rPr>
            </w:pPr>
            <w:r>
              <w:rPr>
                <w:rFonts w:hint="eastAsia" w:asciiTheme="minorEastAsia" w:hAnsiTheme="minorEastAsia" w:eastAsiaTheme="minorEastAsia" w:cstheme="minorEastAsia"/>
                <w:bCs/>
                <w:sz w:val="21"/>
                <w:szCs w:val="21"/>
                <w:lang w:val="en-US" w:eastAsia="zh-CN"/>
              </w:rPr>
              <w:t>162</w:t>
            </w:r>
          </w:p>
        </w:tc>
        <w:tc>
          <w:tcPr>
            <w:tcW w:w="2140" w:type="dxa"/>
            <w:noWrap/>
            <w:vAlign w:val="center"/>
          </w:tcPr>
          <w:p w14:paraId="78FDC112">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0</w:t>
            </w:r>
          </w:p>
        </w:tc>
      </w:tr>
      <w:tr w14:paraId="6499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5641A08">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14:paraId="71CB700E">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inorEastAsia" w:hAnsiTheme="minorEastAsia" w:eastAsiaTheme="minorEastAsia" w:cstheme="minorEastAsia"/>
                <w:color w:val="000000"/>
                <w:kern w:val="16"/>
                <w:sz w:val="21"/>
                <w:szCs w:val="21"/>
                <w:lang w:val="en-US" w:eastAsia="zh-CN"/>
              </w:rPr>
              <w:t>合计</w:t>
            </w:r>
          </w:p>
        </w:tc>
        <w:tc>
          <w:tcPr>
            <w:tcW w:w="1925" w:type="dxa"/>
            <w:gridSpan w:val="2"/>
            <w:noWrap/>
            <w:vAlign w:val="center"/>
          </w:tcPr>
          <w:p w14:paraId="18EFE733">
            <w:pPr>
              <w:pStyle w:val="23"/>
              <w:ind w:left="630" w:leftChars="0" w:hanging="630" w:hangingChars="300"/>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305</w:t>
            </w:r>
          </w:p>
        </w:tc>
        <w:tc>
          <w:tcPr>
            <w:tcW w:w="2140" w:type="dxa"/>
            <w:noWrap/>
            <w:vAlign w:val="center"/>
          </w:tcPr>
          <w:p w14:paraId="19B243E2">
            <w:pPr>
              <w:pStyle w:val="23"/>
              <w:jc w:val="center"/>
              <w:rPr>
                <w:rFonts w:hint="default" w:asciiTheme="majorEastAsia" w:hAnsiTheme="majorEastAsia" w:eastAsiaTheme="majorEastAsia" w:cstheme="maj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0</w:t>
            </w:r>
          </w:p>
        </w:tc>
      </w:tr>
      <w:tr w14:paraId="5A1D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54739846">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14:paraId="73CF843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14:paraId="260301DF">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05</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14:paraId="6D94DC5E">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14:paraId="230B527E">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2024年</w:t>
            </w:r>
            <w:r>
              <w:rPr>
                <w:rFonts w:hint="eastAsia" w:asciiTheme="majorEastAsia" w:hAnsiTheme="majorEastAsia" w:eastAsiaTheme="majorEastAsia" w:cstheme="majorEastAsia"/>
                <w:color w:val="000000"/>
                <w:sz w:val="21"/>
                <w:szCs w:val="21"/>
                <w:lang w:val="en-US" w:eastAsia="zh-CN"/>
              </w:rPr>
              <w:t>11</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05</w:t>
            </w:r>
            <w:r>
              <w:rPr>
                <w:rFonts w:hint="eastAsia" w:asciiTheme="majorEastAsia" w:hAnsiTheme="majorEastAsia" w:eastAsiaTheme="majorEastAsia" w:cstheme="majorEastAsia"/>
                <w:color w:val="000000"/>
                <w:sz w:val="21"/>
                <w:szCs w:val="21"/>
                <w:lang w:eastAsia="zh-CN"/>
              </w:rPr>
              <w:t>日</w:t>
            </w:r>
          </w:p>
        </w:tc>
      </w:tr>
      <w:tr w14:paraId="099B1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9E128B6">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2638BE31">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14:paraId="3867BF74">
            <w:pPr>
              <w:pStyle w:val="23"/>
              <w:rPr>
                <w:rFonts w:hint="default" w:asciiTheme="majorEastAsia" w:hAnsiTheme="majorEastAsia" w:eastAsiaTheme="majorEastAsia" w:cstheme="majorEastAsia"/>
                <w:color w:val="000000"/>
                <w:sz w:val="21"/>
                <w:szCs w:val="21"/>
                <w:lang w:val="en-US" w:eastAsia="zh-CN"/>
              </w:rPr>
            </w:pPr>
            <w:r>
              <w:rPr>
                <w:rFonts w:hint="eastAsia" w:asciiTheme="minorEastAsia" w:hAnsiTheme="minorEastAsia" w:eastAsiaTheme="minorEastAsia" w:cstheme="minorEastAsia"/>
                <w:bCs/>
                <w:sz w:val="21"/>
                <w:szCs w:val="21"/>
                <w:lang w:val="en-US" w:eastAsia="zh-CN"/>
              </w:rPr>
              <w:t>305</w:t>
            </w:r>
          </w:p>
        </w:tc>
        <w:tc>
          <w:tcPr>
            <w:tcW w:w="1925" w:type="dxa"/>
            <w:gridSpan w:val="2"/>
            <w:noWrap/>
            <w:vAlign w:val="center"/>
          </w:tcPr>
          <w:p w14:paraId="49174060">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14:paraId="220FA1D0">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r>
      <w:tr w14:paraId="0D9E1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2D87696B">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14:paraId="73A68BB1">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14:paraId="39CF19C1">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1A8BB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14:paraId="79C96398">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14:paraId="22114640">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14:paraId="308930E9">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c>
          <w:tcPr>
            <w:tcW w:w="1925" w:type="dxa"/>
            <w:gridSpan w:val="2"/>
            <w:noWrap/>
            <w:vAlign w:val="center"/>
          </w:tcPr>
          <w:p w14:paraId="0CA2A2F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14:paraId="66BA6C36">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14:paraId="7AF9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1464D9E2">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14:paraId="7C88766F">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14:paraId="3015EA2C">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w:t>
            </w:r>
          </w:p>
        </w:tc>
      </w:tr>
      <w:tr w14:paraId="031C2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4C199557">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14:paraId="4247F819">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14:paraId="42DA4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14:paraId="083B9931">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14:paraId="0C82EBC5">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14:paraId="7047004B">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14:paraId="7A0BECDD">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14:paraId="1FF34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14:paraId="28D183AC">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14:paraId="7973055A">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14:paraId="089E5ACC">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14:paraId="571BC60F">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14:paraId="4F9C3B79">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712D9F89">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24081"/>
      <w:r>
        <w:rPr>
          <w:rFonts w:hint="eastAsia" w:asciiTheme="majorEastAsia" w:hAnsiTheme="majorEastAsia" w:eastAsiaTheme="majorEastAsia" w:cstheme="majorEastAsia"/>
          <w:color w:val="auto"/>
          <w:sz w:val="21"/>
          <w:szCs w:val="21"/>
          <w:lang w:val="en-US" w:eastAsia="zh-CN"/>
        </w:rPr>
        <w:t>表6.1 山东华油万达化学有限公司</w:t>
      </w:r>
      <w:r>
        <w:rPr>
          <w:rFonts w:hint="eastAsia" w:asciiTheme="minorEastAsia" w:hAnsiTheme="minorEastAsia" w:eastAsiaTheme="minorEastAsia" w:cstheme="minorEastAsia"/>
          <w:color w:val="auto"/>
          <w:sz w:val="21"/>
          <w:szCs w:val="21"/>
          <w:lang w:val="en-US" w:eastAsia="zh-CN"/>
        </w:rPr>
        <w:t>PAM水合工序</w:t>
      </w:r>
      <w:r>
        <w:rPr>
          <w:rFonts w:hint="eastAsia" w:asciiTheme="majorEastAsia" w:hAnsiTheme="majorEastAsia" w:eastAsiaTheme="majorEastAsia" w:cstheme="majorEastAsia"/>
          <w:sz w:val="21"/>
          <w:szCs w:val="21"/>
          <w:lang w:val="en-US" w:eastAsia="zh-CN"/>
        </w:rPr>
        <w:t>LDAR 2024年第四轮统计表</w:t>
      </w:r>
      <w:bookmarkEnd w:id="106"/>
    </w:p>
    <w:p w14:paraId="3ED63828">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填表日期：2024年11月14日</w:t>
      </w:r>
    </w:p>
    <w:tbl>
      <w:tblPr>
        <w:tblStyle w:val="13"/>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14:paraId="1F18CEC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14:paraId="63E45F95">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14:paraId="4E624A6D">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PAM水合工序</w:t>
            </w:r>
          </w:p>
        </w:tc>
        <w:tc>
          <w:tcPr>
            <w:tcW w:w="1810" w:type="dxa"/>
            <w:gridSpan w:val="2"/>
            <w:tcBorders>
              <w:top w:val="single" w:color="auto" w:sz="12" w:space="0"/>
            </w:tcBorders>
            <w:noWrap/>
            <w:vAlign w:val="center"/>
          </w:tcPr>
          <w:p w14:paraId="3A20A915">
            <w:pPr>
              <w:pStyle w:val="23"/>
              <w:rPr>
                <w:rFonts w:hint="eastAsia" w:asciiTheme="majorEastAsia" w:hAnsiTheme="majorEastAsia" w:eastAsiaTheme="majorEastAsia" w:cstheme="majorEastAsia"/>
                <w:color w:val="auto"/>
                <w:sz w:val="21"/>
                <w:szCs w:val="21"/>
              </w:rPr>
            </w:pPr>
            <w:r>
              <w:rPr>
                <w:rFonts w:hint="eastAsia" w:asciiTheme="minorEastAsia" w:hAnsiTheme="minorEastAsia" w:eastAsiaTheme="minorEastAsia" w:cstheme="minorEastAsia"/>
                <w:color w:val="auto"/>
                <w:sz w:val="21"/>
                <w:szCs w:val="21"/>
              </w:rPr>
              <w:t>装置编码</w:t>
            </w:r>
          </w:p>
        </w:tc>
        <w:tc>
          <w:tcPr>
            <w:tcW w:w="1338" w:type="dxa"/>
            <w:tcBorders>
              <w:top w:val="single" w:color="auto" w:sz="12" w:space="0"/>
            </w:tcBorders>
            <w:noWrap/>
            <w:vAlign w:val="center"/>
          </w:tcPr>
          <w:p w14:paraId="12AAE6BB">
            <w:pPr>
              <w:pStyle w:val="23"/>
              <w:rPr>
                <w:rFonts w:hint="eastAsia" w:asciiTheme="majorEastAsia" w:hAnsiTheme="majorEastAsia" w:eastAsiaTheme="majorEastAsia" w:cstheme="maj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XXPAM0</w:t>
            </w:r>
          </w:p>
        </w:tc>
        <w:tc>
          <w:tcPr>
            <w:tcW w:w="2206" w:type="dxa"/>
            <w:gridSpan w:val="2"/>
            <w:tcBorders>
              <w:top w:val="single" w:color="auto" w:sz="12" w:space="0"/>
            </w:tcBorders>
            <w:noWrap/>
            <w:vAlign w:val="center"/>
          </w:tcPr>
          <w:p w14:paraId="77859BF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14:paraId="098766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05760C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14:paraId="4180008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14:paraId="3D0A0CE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14:paraId="3424159B">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14:paraId="3C7AF2F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14:paraId="5F0D27C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14:paraId="7D7DEE81">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14:paraId="666F63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14:paraId="5481DD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14:paraId="4D6A7A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14:paraId="1940F13D">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14:paraId="3895F04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14:paraId="3F7CFDF5">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14:paraId="62FC344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14:paraId="57162092">
            <w:pPr>
              <w:pStyle w:val="23"/>
              <w:rPr>
                <w:rFonts w:hint="eastAsia" w:asciiTheme="majorEastAsia" w:hAnsiTheme="majorEastAsia" w:eastAsiaTheme="majorEastAsia" w:cstheme="majorEastAsia"/>
                <w:color w:val="auto"/>
                <w:sz w:val="21"/>
                <w:szCs w:val="21"/>
              </w:rPr>
            </w:pPr>
          </w:p>
        </w:tc>
        <w:tc>
          <w:tcPr>
            <w:tcW w:w="1135" w:type="dxa"/>
            <w:noWrap/>
            <w:vAlign w:val="center"/>
          </w:tcPr>
          <w:p w14:paraId="13739D2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14:paraId="6D750300">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14:paraId="7B9CBA9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14:paraId="4B206AE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14:paraId="3A0E0E18">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14:paraId="74DAAEF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14:paraId="40E546E8">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14:paraId="37ECA136">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14:paraId="20095A37">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14:paraId="66A24A3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14:paraId="3B16F4B4">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14:paraId="5378D53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14:paraId="61A330D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623E883">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35" w:type="dxa"/>
            <w:shd w:val="clear" w:color="auto" w:fill="auto"/>
            <w:noWrap/>
            <w:vAlign w:val="center"/>
          </w:tcPr>
          <w:p w14:paraId="6E2D302A">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377" w:type="dxa"/>
            <w:shd w:val="clear" w:color="auto" w:fill="auto"/>
            <w:noWrap/>
            <w:vAlign w:val="center"/>
          </w:tcPr>
          <w:p w14:paraId="35E59B83">
            <w:pPr>
              <w:pStyle w:val="23"/>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336015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892" w:type="dxa"/>
            <w:shd w:val="clear" w:color="auto" w:fill="auto"/>
            <w:noWrap/>
            <w:vAlign w:val="center"/>
          </w:tcPr>
          <w:p w14:paraId="18F8F94D">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7C0A32FF">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69F78F9B">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025F538D">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5735243E">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1CDA54A2">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r w14:paraId="3ECFB85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2A94B68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35" w:type="dxa"/>
            <w:shd w:val="clear" w:color="auto" w:fill="auto"/>
            <w:noWrap/>
            <w:vAlign w:val="center"/>
          </w:tcPr>
          <w:p w14:paraId="43F46C7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1377" w:type="dxa"/>
            <w:shd w:val="clear" w:color="auto" w:fill="auto"/>
            <w:noWrap/>
            <w:vAlign w:val="center"/>
          </w:tcPr>
          <w:p w14:paraId="77E7DF1D">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578E2E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892" w:type="dxa"/>
            <w:shd w:val="clear" w:color="auto" w:fill="auto"/>
            <w:noWrap/>
            <w:vAlign w:val="center"/>
          </w:tcPr>
          <w:p w14:paraId="24D9BF6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1</w:t>
            </w:r>
          </w:p>
        </w:tc>
        <w:tc>
          <w:tcPr>
            <w:tcW w:w="2116" w:type="dxa"/>
            <w:gridSpan w:val="2"/>
            <w:shd w:val="clear" w:color="auto" w:fill="auto"/>
            <w:noWrap/>
            <w:vAlign w:val="center"/>
          </w:tcPr>
          <w:p w14:paraId="568149CF">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3EDC958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1</w:t>
            </w:r>
          </w:p>
        </w:tc>
        <w:tc>
          <w:tcPr>
            <w:tcW w:w="1453" w:type="dxa"/>
            <w:shd w:val="clear" w:color="auto" w:fill="auto"/>
            <w:noWrap/>
            <w:vAlign w:val="center"/>
          </w:tcPr>
          <w:p w14:paraId="6918F25B">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56681AFA">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1</w:t>
            </w:r>
          </w:p>
        </w:tc>
        <w:tc>
          <w:tcPr>
            <w:tcW w:w="2276" w:type="dxa"/>
            <w:shd w:val="clear" w:color="auto" w:fill="auto"/>
            <w:noWrap/>
            <w:vAlign w:val="center"/>
          </w:tcPr>
          <w:p w14:paraId="46184261">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r w14:paraId="47A8852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321D9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35" w:type="dxa"/>
            <w:shd w:val="clear" w:color="auto" w:fill="auto"/>
            <w:noWrap/>
            <w:vAlign w:val="center"/>
          </w:tcPr>
          <w:p w14:paraId="503F09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95</w:t>
            </w:r>
          </w:p>
        </w:tc>
        <w:tc>
          <w:tcPr>
            <w:tcW w:w="1377" w:type="dxa"/>
            <w:shd w:val="clear" w:color="auto" w:fill="auto"/>
            <w:noWrap/>
            <w:vAlign w:val="center"/>
          </w:tcPr>
          <w:p w14:paraId="34814F4B">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3A38101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95</w:t>
            </w:r>
          </w:p>
        </w:tc>
        <w:tc>
          <w:tcPr>
            <w:tcW w:w="892" w:type="dxa"/>
            <w:shd w:val="clear" w:color="auto" w:fill="auto"/>
            <w:noWrap/>
            <w:vAlign w:val="center"/>
          </w:tcPr>
          <w:p w14:paraId="24C6C821">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7520768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055DF44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4ACA2868">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1019845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069A3ABF">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r w14:paraId="663FFAC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417D8AD2">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35" w:type="dxa"/>
            <w:shd w:val="clear" w:color="auto" w:fill="auto"/>
            <w:noWrap/>
            <w:vAlign w:val="center"/>
          </w:tcPr>
          <w:p w14:paraId="1F1077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377" w:type="dxa"/>
            <w:shd w:val="clear" w:color="auto" w:fill="auto"/>
            <w:noWrap/>
            <w:vAlign w:val="center"/>
          </w:tcPr>
          <w:p w14:paraId="59C85424">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045CF0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892" w:type="dxa"/>
            <w:shd w:val="clear" w:color="auto" w:fill="auto"/>
            <w:noWrap/>
            <w:vAlign w:val="center"/>
          </w:tcPr>
          <w:p w14:paraId="1A369BA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62DADB6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6E403406">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10F777CB">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521D16FE">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677E1545">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r w14:paraId="322625C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1AF9FF4C">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35" w:type="dxa"/>
            <w:shd w:val="clear" w:color="auto" w:fill="auto"/>
            <w:noWrap/>
            <w:vAlign w:val="center"/>
          </w:tcPr>
          <w:p w14:paraId="55DDB0A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77" w:type="dxa"/>
            <w:shd w:val="clear" w:color="auto" w:fill="auto"/>
            <w:noWrap/>
            <w:vAlign w:val="center"/>
          </w:tcPr>
          <w:p w14:paraId="68FE9205">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6A3CEE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892" w:type="dxa"/>
            <w:shd w:val="clear" w:color="auto" w:fill="auto"/>
            <w:noWrap/>
            <w:vAlign w:val="center"/>
          </w:tcPr>
          <w:p w14:paraId="28EA6847">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2EE6A580">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5D00AF9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4A94F3DF">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72CB91AA">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638D7D0A">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r w14:paraId="35450EF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F702D29">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35" w:type="dxa"/>
            <w:shd w:val="clear" w:color="auto" w:fill="auto"/>
            <w:noWrap/>
            <w:vAlign w:val="center"/>
          </w:tcPr>
          <w:p w14:paraId="5070E23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1377" w:type="dxa"/>
            <w:shd w:val="clear" w:color="auto" w:fill="auto"/>
            <w:noWrap/>
            <w:vAlign w:val="center"/>
          </w:tcPr>
          <w:p w14:paraId="575F0F75">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78BF3B8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892" w:type="dxa"/>
            <w:shd w:val="clear" w:color="auto" w:fill="auto"/>
            <w:noWrap/>
            <w:vAlign w:val="center"/>
          </w:tcPr>
          <w:p w14:paraId="099697E6">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7FCA1D0D">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61F3175E">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1C6C6040">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63798546">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426EE87C">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r w14:paraId="438D89E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A1A34B0">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35" w:type="dxa"/>
            <w:shd w:val="clear" w:color="auto" w:fill="auto"/>
            <w:noWrap/>
            <w:vAlign w:val="center"/>
          </w:tcPr>
          <w:p w14:paraId="29C0B69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377" w:type="dxa"/>
            <w:shd w:val="clear" w:color="auto" w:fill="auto"/>
            <w:noWrap/>
            <w:vAlign w:val="center"/>
          </w:tcPr>
          <w:p w14:paraId="223DD581">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174676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892" w:type="dxa"/>
            <w:shd w:val="clear" w:color="auto" w:fill="auto"/>
            <w:noWrap/>
            <w:vAlign w:val="center"/>
          </w:tcPr>
          <w:p w14:paraId="4D096C3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68E116D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1DDE37A2">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497608C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7896693D">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0EF48C6C">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r w14:paraId="5467525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056B7B75">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35" w:type="dxa"/>
            <w:shd w:val="clear" w:color="auto" w:fill="auto"/>
            <w:noWrap/>
            <w:vAlign w:val="center"/>
          </w:tcPr>
          <w:p w14:paraId="0B64F06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377" w:type="dxa"/>
            <w:shd w:val="clear" w:color="auto" w:fill="auto"/>
            <w:noWrap/>
            <w:vAlign w:val="center"/>
          </w:tcPr>
          <w:p w14:paraId="4EBF04E8">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0DACE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892" w:type="dxa"/>
            <w:shd w:val="clear" w:color="auto" w:fill="auto"/>
            <w:noWrap/>
            <w:vAlign w:val="center"/>
          </w:tcPr>
          <w:p w14:paraId="74A6EFB6">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1A0EB117">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3072CAC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395556F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4BF64CEC">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202D3D0E">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r w14:paraId="46129DE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55BF2383">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35" w:type="dxa"/>
            <w:shd w:val="clear" w:color="auto" w:fill="auto"/>
            <w:noWrap/>
            <w:vAlign w:val="center"/>
          </w:tcPr>
          <w:p w14:paraId="2014E44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377" w:type="dxa"/>
            <w:shd w:val="clear" w:color="auto" w:fill="auto"/>
            <w:noWrap/>
            <w:vAlign w:val="center"/>
          </w:tcPr>
          <w:p w14:paraId="6F4EB814">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7F1D4E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892" w:type="dxa"/>
            <w:shd w:val="clear" w:color="auto" w:fill="auto"/>
            <w:noWrap/>
            <w:vAlign w:val="center"/>
          </w:tcPr>
          <w:p w14:paraId="3FA5A64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116" w:type="dxa"/>
            <w:gridSpan w:val="2"/>
            <w:shd w:val="clear" w:color="auto" w:fill="auto"/>
            <w:noWrap/>
            <w:vAlign w:val="center"/>
          </w:tcPr>
          <w:p w14:paraId="5EEDBC6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5B220F88">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53" w:type="dxa"/>
            <w:shd w:val="clear" w:color="auto" w:fill="auto"/>
            <w:noWrap/>
            <w:vAlign w:val="center"/>
          </w:tcPr>
          <w:p w14:paraId="5FBCCD08">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78588004">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2276" w:type="dxa"/>
            <w:shd w:val="clear" w:color="auto" w:fill="auto"/>
            <w:noWrap/>
            <w:vAlign w:val="center"/>
          </w:tcPr>
          <w:p w14:paraId="3E07637B">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r w14:paraId="2911777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shd w:val="clear" w:color="auto" w:fill="auto"/>
            <w:noWrap/>
            <w:vAlign w:val="center"/>
          </w:tcPr>
          <w:p w14:paraId="37A4921B">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35" w:type="dxa"/>
            <w:shd w:val="clear" w:color="auto" w:fill="auto"/>
            <w:noWrap/>
            <w:vAlign w:val="center"/>
          </w:tcPr>
          <w:p w14:paraId="6D69A03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143</w:t>
            </w:r>
          </w:p>
        </w:tc>
        <w:tc>
          <w:tcPr>
            <w:tcW w:w="1377" w:type="dxa"/>
            <w:shd w:val="clear" w:color="auto" w:fill="auto"/>
            <w:noWrap/>
            <w:vAlign w:val="center"/>
          </w:tcPr>
          <w:p w14:paraId="11FC340E">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18" w:type="dxa"/>
            <w:shd w:val="clear" w:color="auto" w:fill="auto"/>
            <w:noWrap/>
            <w:vAlign w:val="center"/>
          </w:tcPr>
          <w:p w14:paraId="4367D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143</w:t>
            </w:r>
          </w:p>
        </w:tc>
        <w:tc>
          <w:tcPr>
            <w:tcW w:w="892" w:type="dxa"/>
            <w:shd w:val="clear" w:color="auto" w:fill="auto"/>
            <w:noWrap/>
            <w:vAlign w:val="center"/>
          </w:tcPr>
          <w:p w14:paraId="5D51D2DE">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1</w:t>
            </w:r>
          </w:p>
        </w:tc>
        <w:tc>
          <w:tcPr>
            <w:tcW w:w="2116" w:type="dxa"/>
            <w:gridSpan w:val="2"/>
            <w:shd w:val="clear" w:color="auto" w:fill="auto"/>
            <w:noWrap/>
            <w:vAlign w:val="center"/>
          </w:tcPr>
          <w:p w14:paraId="5ED9E051">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428" w:type="dxa"/>
            <w:shd w:val="clear" w:color="auto" w:fill="auto"/>
            <w:noWrap/>
            <w:vAlign w:val="center"/>
          </w:tcPr>
          <w:p w14:paraId="17E4F7A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1</w:t>
            </w:r>
          </w:p>
        </w:tc>
        <w:tc>
          <w:tcPr>
            <w:tcW w:w="1453" w:type="dxa"/>
            <w:shd w:val="clear" w:color="auto" w:fill="auto"/>
            <w:noWrap/>
            <w:vAlign w:val="center"/>
          </w:tcPr>
          <w:p w14:paraId="1AB7FDFA">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1275" w:type="dxa"/>
            <w:shd w:val="clear" w:color="auto" w:fill="auto"/>
            <w:noWrap/>
            <w:vAlign w:val="center"/>
          </w:tcPr>
          <w:p w14:paraId="2AC0EC09">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1</w:t>
            </w:r>
          </w:p>
        </w:tc>
        <w:tc>
          <w:tcPr>
            <w:tcW w:w="2276" w:type="dxa"/>
            <w:shd w:val="clear" w:color="auto" w:fill="auto"/>
            <w:noWrap/>
            <w:vAlign w:val="center"/>
          </w:tcPr>
          <w:p w14:paraId="60EE3203">
            <w:pPr>
              <w:spacing w:line="200" w:lineRule="exact"/>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r>
    </w:tbl>
    <w:p w14:paraId="23BC11A9">
      <w:pPr>
        <w:rPr>
          <w:rFonts w:hint="eastAsia" w:asciiTheme="majorEastAsia" w:hAnsiTheme="majorEastAsia" w:eastAsiaTheme="majorEastAsia" w:cstheme="majorEastAsia"/>
          <w:lang w:eastAsia="zh-CN"/>
        </w:rPr>
      </w:pPr>
    </w:p>
    <w:p w14:paraId="206E6EF1">
      <w:pPr>
        <w:rPr>
          <w:rFonts w:hint="eastAsia" w:asciiTheme="majorEastAsia" w:hAnsiTheme="majorEastAsia" w:eastAsiaTheme="majorEastAsia" w:cstheme="majorEastAsia"/>
          <w:lang w:eastAsia="zh-CN"/>
        </w:rPr>
        <w:sectPr>
          <w:headerReference r:id="rId10" w:type="default"/>
          <w:footerReference r:id="rId11"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14:paraId="3BDE184C">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7" w:name="_Toc16132"/>
      <w:r>
        <w:rPr>
          <w:rFonts w:hint="eastAsia" w:asciiTheme="majorEastAsia" w:hAnsiTheme="majorEastAsia" w:eastAsiaTheme="majorEastAsia" w:cstheme="majorEastAsia"/>
          <w:color w:val="auto"/>
          <w:sz w:val="21"/>
          <w:szCs w:val="21"/>
          <w:lang w:val="en-US" w:eastAsia="zh-CN"/>
        </w:rPr>
        <w:t>表6.2 山东华油万达化学有限公司</w:t>
      </w:r>
      <w:r>
        <w:rPr>
          <w:rFonts w:hint="eastAsia" w:asciiTheme="minorEastAsia" w:hAnsiTheme="minorEastAsia" w:eastAsiaTheme="minorEastAsia" w:cstheme="minorEastAsia"/>
          <w:color w:val="auto"/>
          <w:sz w:val="21"/>
          <w:szCs w:val="21"/>
          <w:lang w:val="en-US" w:eastAsia="zh-CN"/>
        </w:rPr>
        <w:t>储运装</w:t>
      </w:r>
      <w:r>
        <w:rPr>
          <w:rFonts w:hint="eastAsia" w:asciiTheme="minorEastAsia" w:hAnsiTheme="minorEastAsia" w:eastAsiaTheme="minorEastAsia" w:cstheme="minorEastAsia"/>
          <w:sz w:val="21"/>
          <w:szCs w:val="21"/>
          <w:lang w:val="en-US" w:eastAsia="zh-CN"/>
        </w:rPr>
        <w:t>置</w:t>
      </w:r>
      <w:r>
        <w:rPr>
          <w:rFonts w:hint="eastAsia" w:asciiTheme="majorEastAsia" w:hAnsiTheme="majorEastAsia" w:eastAsiaTheme="majorEastAsia" w:cstheme="majorEastAsia"/>
          <w:color w:val="auto"/>
          <w:sz w:val="21"/>
          <w:szCs w:val="21"/>
          <w:lang w:val="en-US" w:eastAsia="zh-CN"/>
        </w:rPr>
        <w:t>LDAR 2024年第四轮统计表</w:t>
      </w:r>
      <w:bookmarkEnd w:id="107"/>
    </w:p>
    <w:p w14:paraId="081DD27A">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填表日期：2024年11月14日</w:t>
      </w:r>
    </w:p>
    <w:tbl>
      <w:tblPr>
        <w:tblStyle w:val="13"/>
        <w:tblW w:w="4974"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14:paraId="5816CE4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tcBorders>
              <w:top w:val="single" w:color="auto" w:sz="12" w:space="0"/>
            </w:tcBorders>
            <w:noWrap/>
            <w:vAlign w:val="center"/>
          </w:tcPr>
          <w:p w14:paraId="4772297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61" w:type="dxa"/>
            <w:gridSpan w:val="2"/>
            <w:tcBorders>
              <w:top w:val="single" w:color="auto" w:sz="12" w:space="0"/>
            </w:tcBorders>
            <w:noWrap/>
            <w:vAlign w:val="center"/>
          </w:tcPr>
          <w:p w14:paraId="2701357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1845" w:type="dxa"/>
            <w:gridSpan w:val="2"/>
            <w:tcBorders>
              <w:top w:val="single" w:color="auto" w:sz="12" w:space="0"/>
            </w:tcBorders>
            <w:noWrap/>
            <w:vAlign w:val="center"/>
          </w:tcPr>
          <w:p w14:paraId="7D28AED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64" w:type="dxa"/>
            <w:tcBorders>
              <w:top w:val="single" w:color="auto" w:sz="12" w:space="0"/>
            </w:tcBorders>
            <w:noWrap/>
            <w:vAlign w:val="center"/>
          </w:tcPr>
          <w:p w14:paraId="00D75CFA">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XXXZG0</w:t>
            </w:r>
          </w:p>
        </w:tc>
        <w:tc>
          <w:tcPr>
            <w:tcW w:w="2249" w:type="dxa"/>
            <w:gridSpan w:val="2"/>
            <w:tcBorders>
              <w:top w:val="single" w:color="auto" w:sz="12" w:space="0"/>
            </w:tcBorders>
            <w:noWrap/>
            <w:vAlign w:val="center"/>
          </w:tcPr>
          <w:p w14:paraId="0F7333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101" w:type="dxa"/>
            <w:gridSpan w:val="3"/>
            <w:tcBorders>
              <w:top w:val="single" w:color="auto" w:sz="12" w:space="0"/>
            </w:tcBorders>
            <w:noWrap/>
            <w:vAlign w:val="center"/>
          </w:tcPr>
          <w:p w14:paraId="1CC9599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08D81E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noWrap/>
            <w:vAlign w:val="center"/>
          </w:tcPr>
          <w:p w14:paraId="0B69598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14:paraId="61EB944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57" w:type="dxa"/>
            <w:noWrap/>
            <w:vAlign w:val="center"/>
          </w:tcPr>
          <w:p w14:paraId="49F5207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04" w:type="dxa"/>
            <w:noWrap/>
            <w:vAlign w:val="center"/>
          </w:tcPr>
          <w:p w14:paraId="4BFF33F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458" w:type="dxa"/>
            <w:gridSpan w:val="5"/>
            <w:noWrap/>
            <w:vAlign w:val="center"/>
          </w:tcPr>
          <w:p w14:paraId="31F2EF4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81" w:type="dxa"/>
            <w:noWrap/>
            <w:vAlign w:val="center"/>
          </w:tcPr>
          <w:p w14:paraId="31CF447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620" w:type="dxa"/>
            <w:gridSpan w:val="2"/>
            <w:noWrap/>
            <w:vAlign w:val="center"/>
          </w:tcPr>
          <w:p w14:paraId="39CEA1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5790EF8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restart"/>
            <w:noWrap/>
            <w:vAlign w:val="center"/>
          </w:tcPr>
          <w:p w14:paraId="23B6F4D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61" w:type="dxa"/>
            <w:gridSpan w:val="2"/>
            <w:noWrap/>
            <w:vAlign w:val="center"/>
          </w:tcPr>
          <w:p w14:paraId="106B2CC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4002" w:type="dxa"/>
            <w:gridSpan w:val="4"/>
            <w:noWrap/>
            <w:vAlign w:val="center"/>
          </w:tcPr>
          <w:p w14:paraId="2850AD23">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557" w:type="dxa"/>
            <w:gridSpan w:val="4"/>
            <w:noWrap/>
            <w:vAlign w:val="center"/>
          </w:tcPr>
          <w:p w14:paraId="69E9C8D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14:paraId="61CE706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vMerge w:val="continue"/>
            <w:noWrap/>
            <w:vAlign w:val="center"/>
          </w:tcPr>
          <w:p w14:paraId="1EE823A2">
            <w:pPr>
              <w:pStyle w:val="23"/>
              <w:rPr>
                <w:rFonts w:hint="eastAsia" w:asciiTheme="majorEastAsia" w:hAnsiTheme="majorEastAsia" w:eastAsiaTheme="majorEastAsia" w:cstheme="majorEastAsia"/>
                <w:color w:val="auto"/>
                <w:sz w:val="21"/>
                <w:szCs w:val="21"/>
                <w:lang w:val="en-US" w:eastAsia="zh-CN"/>
              </w:rPr>
            </w:pPr>
          </w:p>
        </w:tc>
        <w:tc>
          <w:tcPr>
            <w:tcW w:w="1157" w:type="dxa"/>
            <w:noWrap/>
            <w:vAlign w:val="center"/>
          </w:tcPr>
          <w:p w14:paraId="5BEB5C5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404" w:type="dxa"/>
            <w:noWrap/>
            <w:vAlign w:val="center"/>
          </w:tcPr>
          <w:p w14:paraId="427A6CE8">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36" w:type="dxa"/>
            <w:noWrap/>
            <w:vAlign w:val="center"/>
          </w:tcPr>
          <w:p w14:paraId="26959FE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909" w:type="dxa"/>
            <w:noWrap/>
            <w:vAlign w:val="center"/>
          </w:tcPr>
          <w:p w14:paraId="0EDEC3EC">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57" w:type="dxa"/>
            <w:gridSpan w:val="2"/>
            <w:noWrap/>
            <w:vAlign w:val="center"/>
          </w:tcPr>
          <w:p w14:paraId="1835DA0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56" w:type="dxa"/>
            <w:noWrap/>
            <w:vAlign w:val="center"/>
          </w:tcPr>
          <w:p w14:paraId="5EF34810">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81" w:type="dxa"/>
            <w:noWrap/>
            <w:vAlign w:val="center"/>
          </w:tcPr>
          <w:p w14:paraId="383A6EE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14:paraId="7D2F48E1">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300" w:type="dxa"/>
            <w:noWrap/>
            <w:vAlign w:val="center"/>
          </w:tcPr>
          <w:p w14:paraId="0613ED6E">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320" w:type="dxa"/>
            <w:noWrap/>
            <w:vAlign w:val="center"/>
          </w:tcPr>
          <w:p w14:paraId="5C929556">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14:paraId="6E49D74A">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14:paraId="04978EC5">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14:paraId="32EA77D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6EA03481">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泵</w:t>
            </w:r>
          </w:p>
        </w:tc>
        <w:tc>
          <w:tcPr>
            <w:tcW w:w="1157" w:type="dxa"/>
            <w:shd w:val="clear" w:color="auto" w:fill="auto"/>
            <w:noWrap/>
            <w:vAlign w:val="center"/>
          </w:tcPr>
          <w:p w14:paraId="3FD3D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404" w:type="dxa"/>
            <w:shd w:val="clear" w:color="auto" w:fill="auto"/>
            <w:noWrap/>
            <w:vAlign w:val="center"/>
          </w:tcPr>
          <w:p w14:paraId="417EC982">
            <w:pPr>
              <w:pStyle w:val="23"/>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67531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909" w:type="dxa"/>
            <w:shd w:val="clear" w:color="auto" w:fill="auto"/>
            <w:noWrap/>
            <w:vAlign w:val="center"/>
          </w:tcPr>
          <w:p w14:paraId="08669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4A04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7A41A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7437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7D3DF1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22CC0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78B3989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A2BF2C7">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阀门</w:t>
            </w:r>
          </w:p>
        </w:tc>
        <w:tc>
          <w:tcPr>
            <w:tcW w:w="1157" w:type="dxa"/>
            <w:shd w:val="clear" w:color="auto" w:fill="auto"/>
            <w:noWrap/>
            <w:vAlign w:val="center"/>
          </w:tcPr>
          <w:p w14:paraId="129E97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1404" w:type="dxa"/>
            <w:shd w:val="clear" w:color="auto" w:fill="auto"/>
            <w:noWrap/>
            <w:vAlign w:val="center"/>
          </w:tcPr>
          <w:p w14:paraId="7C2F091F">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530A6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38</w:t>
            </w:r>
          </w:p>
        </w:tc>
        <w:tc>
          <w:tcPr>
            <w:tcW w:w="909" w:type="dxa"/>
            <w:shd w:val="clear" w:color="auto" w:fill="auto"/>
            <w:noWrap/>
            <w:vAlign w:val="center"/>
          </w:tcPr>
          <w:p w14:paraId="52418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54E12D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41695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749B2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50605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23F14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65E7B5A">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327E111">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法兰</w:t>
            </w:r>
          </w:p>
        </w:tc>
        <w:tc>
          <w:tcPr>
            <w:tcW w:w="1157" w:type="dxa"/>
            <w:shd w:val="clear" w:color="auto" w:fill="auto"/>
            <w:noWrap/>
            <w:vAlign w:val="center"/>
          </w:tcPr>
          <w:p w14:paraId="1CD656C3">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104</w:t>
            </w:r>
          </w:p>
        </w:tc>
        <w:tc>
          <w:tcPr>
            <w:tcW w:w="1404" w:type="dxa"/>
            <w:shd w:val="clear" w:color="auto" w:fill="auto"/>
            <w:noWrap/>
            <w:vAlign w:val="center"/>
          </w:tcPr>
          <w:p w14:paraId="6E323D6E">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5373A5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104</w:t>
            </w:r>
          </w:p>
        </w:tc>
        <w:tc>
          <w:tcPr>
            <w:tcW w:w="909" w:type="dxa"/>
            <w:shd w:val="clear" w:color="auto" w:fill="auto"/>
            <w:noWrap/>
            <w:vAlign w:val="center"/>
          </w:tcPr>
          <w:p w14:paraId="12C00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56B8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42D57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5673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221CE6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0FB82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9CBAB4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245823CD">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搅拌器</w:t>
            </w:r>
          </w:p>
        </w:tc>
        <w:tc>
          <w:tcPr>
            <w:tcW w:w="1157" w:type="dxa"/>
            <w:shd w:val="clear" w:color="auto" w:fill="auto"/>
            <w:noWrap/>
            <w:vAlign w:val="center"/>
          </w:tcPr>
          <w:p w14:paraId="57CA58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04" w:type="dxa"/>
            <w:shd w:val="clear" w:color="auto" w:fill="auto"/>
            <w:noWrap/>
            <w:vAlign w:val="center"/>
          </w:tcPr>
          <w:p w14:paraId="5B27D721">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46EFF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909" w:type="dxa"/>
            <w:shd w:val="clear" w:color="auto" w:fill="auto"/>
            <w:noWrap/>
            <w:vAlign w:val="center"/>
          </w:tcPr>
          <w:p w14:paraId="0DF5A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3B30C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61D40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51C330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777F7A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12FC6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589F68B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4653A62">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开口阀或开口管线</w:t>
            </w:r>
          </w:p>
        </w:tc>
        <w:tc>
          <w:tcPr>
            <w:tcW w:w="1157" w:type="dxa"/>
            <w:shd w:val="clear" w:color="auto" w:fill="auto"/>
            <w:noWrap/>
            <w:vAlign w:val="center"/>
          </w:tcPr>
          <w:p w14:paraId="324A2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1404" w:type="dxa"/>
            <w:shd w:val="clear" w:color="auto" w:fill="auto"/>
            <w:noWrap/>
            <w:vAlign w:val="center"/>
          </w:tcPr>
          <w:p w14:paraId="5C80B782">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4A683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909" w:type="dxa"/>
            <w:shd w:val="clear" w:color="auto" w:fill="auto"/>
            <w:noWrap/>
            <w:vAlign w:val="center"/>
          </w:tcPr>
          <w:p w14:paraId="52D1A1D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58C0FA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07743D95">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6AEDA0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406444A0">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521ED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E6C62F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4B62F866">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连接件</w:t>
            </w:r>
          </w:p>
        </w:tc>
        <w:tc>
          <w:tcPr>
            <w:tcW w:w="1157" w:type="dxa"/>
            <w:shd w:val="clear" w:color="auto" w:fill="auto"/>
            <w:noWrap/>
            <w:vAlign w:val="center"/>
          </w:tcPr>
          <w:p w14:paraId="06D62A3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w:t>
            </w:r>
          </w:p>
        </w:tc>
        <w:tc>
          <w:tcPr>
            <w:tcW w:w="1404" w:type="dxa"/>
            <w:shd w:val="clear" w:color="auto" w:fill="auto"/>
            <w:noWrap/>
            <w:vAlign w:val="center"/>
          </w:tcPr>
          <w:p w14:paraId="5F541ACC">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1DC4213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14</w:t>
            </w:r>
          </w:p>
        </w:tc>
        <w:tc>
          <w:tcPr>
            <w:tcW w:w="909" w:type="dxa"/>
            <w:shd w:val="clear" w:color="auto" w:fill="auto"/>
            <w:noWrap/>
            <w:vAlign w:val="center"/>
          </w:tcPr>
          <w:p w14:paraId="55475A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BEA9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04361E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4E601D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06960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40EB65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98A4FF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3DC876DE">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泄压设备</w:t>
            </w:r>
          </w:p>
        </w:tc>
        <w:tc>
          <w:tcPr>
            <w:tcW w:w="1157" w:type="dxa"/>
            <w:shd w:val="clear" w:color="auto" w:fill="auto"/>
            <w:noWrap/>
            <w:vAlign w:val="center"/>
          </w:tcPr>
          <w:p w14:paraId="2EE4A1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04" w:type="dxa"/>
            <w:shd w:val="clear" w:color="auto" w:fill="auto"/>
            <w:noWrap/>
            <w:vAlign w:val="center"/>
          </w:tcPr>
          <w:p w14:paraId="51E5D56E">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64F37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909" w:type="dxa"/>
            <w:shd w:val="clear" w:color="auto" w:fill="auto"/>
            <w:noWrap/>
            <w:vAlign w:val="center"/>
          </w:tcPr>
          <w:p w14:paraId="321D87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68C2D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18036F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AD66F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07752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7D09F6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349D2E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16CF8479">
            <w:pPr>
              <w:keepNext w:val="0"/>
              <w:keepLines w:val="0"/>
              <w:widowControl/>
              <w:suppressLineNumbers w:val="0"/>
              <w:jc w:val="center"/>
              <w:textAlignment w:val="center"/>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压缩机</w:t>
            </w:r>
          </w:p>
        </w:tc>
        <w:tc>
          <w:tcPr>
            <w:tcW w:w="1157" w:type="dxa"/>
            <w:shd w:val="clear" w:color="auto" w:fill="auto"/>
            <w:noWrap/>
            <w:vAlign w:val="center"/>
          </w:tcPr>
          <w:p w14:paraId="2B210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04" w:type="dxa"/>
            <w:shd w:val="clear" w:color="auto" w:fill="auto"/>
            <w:noWrap/>
            <w:vAlign w:val="center"/>
          </w:tcPr>
          <w:p w14:paraId="3DD9CD3F">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401881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909" w:type="dxa"/>
            <w:shd w:val="clear" w:color="auto" w:fill="auto"/>
            <w:noWrap/>
            <w:vAlign w:val="center"/>
          </w:tcPr>
          <w:p w14:paraId="7E0D1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1ED738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2EB766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2F08E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2BD6D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4ABA9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48AEE8A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131E8E3">
            <w:pPr>
              <w:pStyle w:val="26"/>
              <w:ind w:firstLine="0" w:firstLineChars="0"/>
              <w:rPr>
                <w:rFonts w:hint="eastAsia"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其他</w:t>
            </w:r>
          </w:p>
        </w:tc>
        <w:tc>
          <w:tcPr>
            <w:tcW w:w="1157" w:type="dxa"/>
            <w:shd w:val="clear" w:color="auto" w:fill="auto"/>
            <w:noWrap/>
            <w:vAlign w:val="center"/>
          </w:tcPr>
          <w:p w14:paraId="1E34F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1404" w:type="dxa"/>
            <w:shd w:val="clear" w:color="auto" w:fill="auto"/>
            <w:noWrap/>
            <w:vAlign w:val="center"/>
          </w:tcPr>
          <w:p w14:paraId="665662AD">
            <w:pPr>
              <w:jc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0EA9B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w:t>
            </w:r>
          </w:p>
        </w:tc>
        <w:tc>
          <w:tcPr>
            <w:tcW w:w="909" w:type="dxa"/>
            <w:shd w:val="clear" w:color="auto" w:fill="auto"/>
            <w:noWrap/>
            <w:vAlign w:val="center"/>
          </w:tcPr>
          <w:p w14:paraId="7E1628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28FC8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4E67F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5761C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05AF5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4B97C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r w14:paraId="2328FB1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92" w:type="dxa"/>
            <w:shd w:val="clear" w:color="auto" w:fill="auto"/>
            <w:noWrap/>
            <w:vAlign w:val="center"/>
          </w:tcPr>
          <w:p w14:paraId="0A34C103">
            <w:pPr>
              <w:pStyle w:val="23"/>
              <w:jc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合计</w:t>
            </w:r>
          </w:p>
        </w:tc>
        <w:tc>
          <w:tcPr>
            <w:tcW w:w="1157" w:type="dxa"/>
            <w:shd w:val="clear" w:color="auto" w:fill="auto"/>
            <w:noWrap/>
            <w:vAlign w:val="center"/>
          </w:tcPr>
          <w:p w14:paraId="1C3ADF9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162</w:t>
            </w:r>
          </w:p>
        </w:tc>
        <w:tc>
          <w:tcPr>
            <w:tcW w:w="1404" w:type="dxa"/>
            <w:shd w:val="clear" w:color="auto" w:fill="auto"/>
            <w:noWrap/>
            <w:vAlign w:val="center"/>
          </w:tcPr>
          <w:p w14:paraId="74E3F016">
            <w:pPr>
              <w:jc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color w:val="auto"/>
                <w:sz w:val="21"/>
                <w:szCs w:val="21"/>
                <w:lang w:val="en-US" w:eastAsia="zh-CN"/>
              </w:rPr>
              <w:t>0</w:t>
            </w:r>
          </w:p>
        </w:tc>
        <w:tc>
          <w:tcPr>
            <w:tcW w:w="936" w:type="dxa"/>
            <w:shd w:val="clear" w:color="auto" w:fill="auto"/>
            <w:noWrap/>
            <w:vAlign w:val="center"/>
          </w:tcPr>
          <w:p w14:paraId="2815389E">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162</w:t>
            </w:r>
          </w:p>
        </w:tc>
        <w:tc>
          <w:tcPr>
            <w:tcW w:w="909" w:type="dxa"/>
            <w:shd w:val="clear" w:color="auto" w:fill="auto"/>
            <w:noWrap/>
            <w:vAlign w:val="center"/>
          </w:tcPr>
          <w:p w14:paraId="77E2D50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157" w:type="dxa"/>
            <w:gridSpan w:val="2"/>
            <w:shd w:val="clear" w:color="auto" w:fill="auto"/>
            <w:noWrap/>
            <w:vAlign w:val="center"/>
          </w:tcPr>
          <w:p w14:paraId="4C4FF7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56" w:type="dxa"/>
            <w:shd w:val="clear" w:color="auto" w:fill="auto"/>
            <w:noWrap/>
            <w:vAlign w:val="center"/>
          </w:tcPr>
          <w:p w14:paraId="3263464F">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481" w:type="dxa"/>
            <w:shd w:val="clear" w:color="auto" w:fill="auto"/>
            <w:noWrap/>
            <w:vAlign w:val="center"/>
          </w:tcPr>
          <w:p w14:paraId="54C44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1300" w:type="dxa"/>
            <w:shd w:val="clear" w:color="auto" w:fill="auto"/>
            <w:noWrap/>
            <w:vAlign w:val="center"/>
          </w:tcPr>
          <w:p w14:paraId="40ECF22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c>
          <w:tcPr>
            <w:tcW w:w="2320" w:type="dxa"/>
            <w:shd w:val="clear" w:color="auto" w:fill="auto"/>
            <w:noWrap/>
            <w:vAlign w:val="center"/>
          </w:tcPr>
          <w:p w14:paraId="24D3C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0</w:t>
            </w:r>
          </w:p>
        </w:tc>
      </w:tr>
    </w:tbl>
    <w:p w14:paraId="35AB9E3C">
      <w:pPr>
        <w:pStyle w:val="23"/>
        <w:jc w:val="center"/>
        <w:rPr>
          <w:rFonts w:hint="eastAsia" w:asciiTheme="majorEastAsia" w:hAnsiTheme="majorEastAsia" w:eastAsiaTheme="majorEastAsia" w:cstheme="majorEastAsia"/>
          <w:color w:val="auto"/>
          <w:sz w:val="21"/>
          <w:szCs w:val="21"/>
          <w:lang w:val="en-US" w:eastAsia="zh-CN"/>
        </w:rPr>
      </w:pPr>
    </w:p>
    <w:p w14:paraId="45B3C5F2">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08" w:name="_Toc16456"/>
      <w:r>
        <w:rPr>
          <w:rFonts w:hint="eastAsia" w:asciiTheme="majorEastAsia" w:hAnsiTheme="majorEastAsia" w:eastAsiaTheme="majorEastAsia" w:cstheme="majorEastAsia"/>
          <w:sz w:val="21"/>
          <w:szCs w:val="21"/>
          <w:lang w:val="en-US" w:eastAsia="zh-CN"/>
        </w:rPr>
        <w:t xml:space="preserve">表6.3 </w:t>
      </w:r>
      <w:r>
        <w:rPr>
          <w:rFonts w:hint="eastAsia" w:asciiTheme="majorEastAsia" w:hAnsiTheme="majorEastAsia" w:eastAsiaTheme="majorEastAsia" w:cstheme="majorEastAsia"/>
          <w:b/>
          <w:bCs/>
          <w:sz w:val="21"/>
          <w:szCs w:val="21"/>
          <w:u w:val="none"/>
          <w:lang w:val="en-US" w:eastAsia="zh-CN"/>
        </w:rPr>
        <w:t>山东华油万达化学有限公司</w:t>
      </w:r>
      <w:r>
        <w:rPr>
          <w:rFonts w:hint="eastAsia" w:asciiTheme="majorEastAsia" w:hAnsiTheme="majorEastAsia" w:eastAsiaTheme="majorEastAsia" w:cstheme="majorEastAsia"/>
          <w:sz w:val="21"/>
          <w:szCs w:val="21"/>
          <w:lang w:val="en-US" w:eastAsia="zh-CN"/>
        </w:rPr>
        <w:t>2024年第四季度LDAR普查表</w:t>
      </w:r>
      <w:bookmarkEnd w:id="108"/>
    </w:p>
    <w:p w14:paraId="7017F71F">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填表日期：2024年11月14日</w:t>
      </w:r>
    </w:p>
    <w:tbl>
      <w:tblPr>
        <w:tblStyle w:val="13"/>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14:paraId="7C555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restart"/>
            <w:vAlign w:val="center"/>
          </w:tcPr>
          <w:p w14:paraId="424D501A">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645" w:type="dxa"/>
            <w:gridSpan w:val="3"/>
            <w:vAlign w:val="center"/>
          </w:tcPr>
          <w:p w14:paraId="695395CC">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947" w:type="dxa"/>
            <w:gridSpan w:val="6"/>
            <w:vAlign w:val="center"/>
          </w:tcPr>
          <w:p w14:paraId="79506B59">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山东华油万达化学有限公司</w:t>
            </w:r>
          </w:p>
        </w:tc>
      </w:tr>
      <w:tr w14:paraId="5842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0BAAFC3A">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D96EEA1">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947" w:type="dxa"/>
            <w:gridSpan w:val="6"/>
            <w:vAlign w:val="center"/>
          </w:tcPr>
          <w:p w14:paraId="033DDAFF">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14:paraId="5EF08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6A41247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71754F02">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947" w:type="dxa"/>
            <w:gridSpan w:val="6"/>
            <w:vAlign w:val="center"/>
          </w:tcPr>
          <w:p w14:paraId="55E46183">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王经理</w:t>
            </w:r>
          </w:p>
        </w:tc>
      </w:tr>
      <w:tr w14:paraId="1720CE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796F4AE3">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6FE1CEDE">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947" w:type="dxa"/>
            <w:gridSpan w:val="6"/>
            <w:vAlign w:val="center"/>
          </w:tcPr>
          <w:p w14:paraId="38E9D2E4">
            <w:pPr>
              <w:pStyle w:val="23"/>
              <w:rPr>
                <w:rFonts w:hint="eastAsia" w:asciiTheme="majorEastAsia" w:hAnsiTheme="majorEastAsia" w:eastAsiaTheme="majorEastAsia" w:cstheme="maj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18854629321</w:t>
            </w:r>
          </w:p>
        </w:tc>
      </w:tr>
      <w:tr w14:paraId="0118A6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Merge w:val="continue"/>
            <w:vAlign w:val="center"/>
          </w:tcPr>
          <w:p w14:paraId="1FE7434C">
            <w:pPr>
              <w:pStyle w:val="23"/>
              <w:rPr>
                <w:rFonts w:hint="eastAsia" w:asciiTheme="majorEastAsia" w:hAnsiTheme="majorEastAsia" w:eastAsiaTheme="majorEastAsia" w:cstheme="majorEastAsia"/>
                <w:color w:val="auto"/>
                <w:sz w:val="21"/>
                <w:szCs w:val="21"/>
              </w:rPr>
            </w:pPr>
          </w:p>
        </w:tc>
        <w:tc>
          <w:tcPr>
            <w:tcW w:w="3645" w:type="dxa"/>
            <w:gridSpan w:val="3"/>
            <w:vAlign w:val="center"/>
          </w:tcPr>
          <w:p w14:paraId="2C089CAF">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947" w:type="dxa"/>
            <w:gridSpan w:val="6"/>
            <w:vAlign w:val="center"/>
          </w:tcPr>
          <w:p w14:paraId="26DDD85B">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14:paraId="35E23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47" w:type="dxa"/>
            <w:vAlign w:val="center"/>
          </w:tcPr>
          <w:p w14:paraId="06A01D2F">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592" w:type="dxa"/>
            <w:gridSpan w:val="9"/>
            <w:vAlign w:val="center"/>
          </w:tcPr>
          <w:p w14:paraId="41F9D542">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01月-2024年12月</w:t>
            </w:r>
          </w:p>
        </w:tc>
      </w:tr>
      <w:tr w14:paraId="15E1A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76" w:type="dxa"/>
            <w:gridSpan w:val="8"/>
            <w:vAlign w:val="center"/>
          </w:tcPr>
          <w:p w14:paraId="6A9EEF19">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63" w:type="dxa"/>
            <w:gridSpan w:val="2"/>
            <w:vAlign w:val="center"/>
          </w:tcPr>
          <w:p w14:paraId="03BC61B7">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14:paraId="3F20F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47" w:type="dxa"/>
            <w:vAlign w:val="center"/>
          </w:tcPr>
          <w:p w14:paraId="43CC27AE">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206" w:type="dxa"/>
            <w:vAlign w:val="center"/>
          </w:tcPr>
          <w:p w14:paraId="4F7DD882">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14:paraId="307F85B5">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33" w:type="dxa"/>
            <w:vAlign w:val="center"/>
          </w:tcPr>
          <w:p w14:paraId="7661A75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14:paraId="53037F75">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206" w:type="dxa"/>
            <w:vAlign w:val="center"/>
          </w:tcPr>
          <w:p w14:paraId="4B7CDA23">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14:paraId="0D7C31A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83" w:type="dxa"/>
            <w:vAlign w:val="center"/>
          </w:tcPr>
          <w:p w14:paraId="7AE1B0DB">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44" w:type="dxa"/>
            <w:vAlign w:val="center"/>
          </w:tcPr>
          <w:p w14:paraId="7018FBFE">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44" w:type="dxa"/>
            <w:vAlign w:val="center"/>
          </w:tcPr>
          <w:p w14:paraId="4DAED646">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713" w:type="dxa"/>
            <w:vAlign w:val="center"/>
          </w:tcPr>
          <w:p w14:paraId="162CC43D">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56" w:type="dxa"/>
            <w:vAlign w:val="center"/>
          </w:tcPr>
          <w:p w14:paraId="6AD7DF71">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807" w:type="dxa"/>
            <w:vAlign w:val="center"/>
          </w:tcPr>
          <w:p w14:paraId="691542E9">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14:paraId="6F958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47" w:type="dxa"/>
            <w:vAlign w:val="center"/>
          </w:tcPr>
          <w:p w14:paraId="0C0A3F09">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PAM水合工序</w:t>
            </w:r>
          </w:p>
        </w:tc>
        <w:tc>
          <w:tcPr>
            <w:tcW w:w="1206" w:type="dxa"/>
            <w:shd w:val="clear" w:color="auto" w:fill="auto"/>
            <w:vAlign w:val="center"/>
          </w:tcPr>
          <w:p w14:paraId="088490D9">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sz w:val="21"/>
                <w:szCs w:val="21"/>
                <w:lang w:val="en-US" w:eastAsia="zh-CN"/>
              </w:rPr>
              <w:t>370</w:t>
            </w:r>
          </w:p>
        </w:tc>
        <w:tc>
          <w:tcPr>
            <w:tcW w:w="1233" w:type="dxa"/>
            <w:shd w:val="clear" w:color="auto" w:fill="auto"/>
            <w:vAlign w:val="center"/>
          </w:tcPr>
          <w:p w14:paraId="46EC6EF6">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370</w:t>
            </w:r>
          </w:p>
        </w:tc>
        <w:tc>
          <w:tcPr>
            <w:tcW w:w="1206" w:type="dxa"/>
            <w:shd w:val="clear" w:color="auto" w:fill="auto"/>
            <w:vAlign w:val="center"/>
          </w:tcPr>
          <w:p w14:paraId="4984D809">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4</w:t>
            </w:r>
          </w:p>
        </w:tc>
        <w:tc>
          <w:tcPr>
            <w:tcW w:w="1383" w:type="dxa"/>
            <w:shd w:val="clear" w:color="auto" w:fill="auto"/>
            <w:vAlign w:val="center"/>
          </w:tcPr>
          <w:p w14:paraId="4C3514F2">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4B80CC05">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109A5E9C">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1.08</w:t>
            </w:r>
          </w:p>
        </w:tc>
        <w:tc>
          <w:tcPr>
            <w:tcW w:w="1713" w:type="dxa"/>
            <w:shd w:val="clear" w:color="auto" w:fill="auto"/>
            <w:vAlign w:val="center"/>
          </w:tcPr>
          <w:p w14:paraId="06D8CBC0">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56" w:type="dxa"/>
            <w:shd w:val="clear" w:color="auto" w:fill="auto"/>
            <w:vAlign w:val="center"/>
          </w:tcPr>
          <w:p w14:paraId="44F477C7">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4</w:t>
            </w:r>
          </w:p>
        </w:tc>
        <w:tc>
          <w:tcPr>
            <w:tcW w:w="1807" w:type="dxa"/>
            <w:shd w:val="clear" w:color="auto" w:fill="auto"/>
            <w:vAlign w:val="center"/>
          </w:tcPr>
          <w:p w14:paraId="54FA5A2E">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14:paraId="49723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47" w:type="dxa"/>
            <w:vAlign w:val="center"/>
          </w:tcPr>
          <w:p w14:paraId="3459CA2A">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储运装置</w:t>
            </w:r>
          </w:p>
        </w:tc>
        <w:tc>
          <w:tcPr>
            <w:tcW w:w="1206" w:type="dxa"/>
            <w:shd w:val="clear" w:color="auto" w:fill="auto"/>
            <w:vAlign w:val="center"/>
          </w:tcPr>
          <w:p w14:paraId="68BAD093">
            <w:pPr>
              <w:pStyle w:val="23"/>
              <w:rPr>
                <w:rFonts w:hint="default" w:asciiTheme="minorEastAsia" w:hAnsiTheme="minorEastAsia" w:eastAsiaTheme="minorEastAsia" w:cstheme="minorEastAsia"/>
                <w:bCs/>
                <w:color w:val="auto"/>
                <w:kern w:val="0"/>
                <w:sz w:val="21"/>
                <w:szCs w:val="21"/>
                <w:lang w:val="en-US" w:eastAsia="zh-CN" w:bidi="ar-SA"/>
              </w:rPr>
            </w:pPr>
            <w:r>
              <w:rPr>
                <w:rFonts w:hint="eastAsia" w:asciiTheme="minorEastAsia" w:hAnsiTheme="minorEastAsia" w:eastAsiaTheme="minorEastAsia" w:cstheme="minorEastAsia"/>
                <w:sz w:val="21"/>
                <w:szCs w:val="21"/>
                <w:lang w:val="en-US" w:eastAsia="zh-CN"/>
              </w:rPr>
              <w:t>412</w:t>
            </w:r>
          </w:p>
        </w:tc>
        <w:tc>
          <w:tcPr>
            <w:tcW w:w="1233" w:type="dxa"/>
            <w:shd w:val="clear" w:color="auto" w:fill="auto"/>
            <w:vAlign w:val="center"/>
          </w:tcPr>
          <w:p w14:paraId="7A235872">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412</w:t>
            </w:r>
          </w:p>
        </w:tc>
        <w:tc>
          <w:tcPr>
            <w:tcW w:w="1206" w:type="dxa"/>
            <w:shd w:val="clear" w:color="auto" w:fill="auto"/>
            <w:vAlign w:val="center"/>
          </w:tcPr>
          <w:p w14:paraId="493CDBB3">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383" w:type="dxa"/>
            <w:shd w:val="clear" w:color="auto" w:fill="auto"/>
            <w:vAlign w:val="center"/>
          </w:tcPr>
          <w:p w14:paraId="3BF54DB7">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1D55CB13">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5F2A6BAD">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0.24</w:t>
            </w:r>
          </w:p>
        </w:tc>
        <w:tc>
          <w:tcPr>
            <w:tcW w:w="1713" w:type="dxa"/>
            <w:shd w:val="clear" w:color="auto" w:fill="auto"/>
            <w:vAlign w:val="center"/>
          </w:tcPr>
          <w:p w14:paraId="18B834CB">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56" w:type="dxa"/>
            <w:shd w:val="clear" w:color="auto" w:fill="auto"/>
            <w:vAlign w:val="center"/>
          </w:tcPr>
          <w:p w14:paraId="41ED11C7">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1</w:t>
            </w:r>
          </w:p>
        </w:tc>
        <w:tc>
          <w:tcPr>
            <w:tcW w:w="1807" w:type="dxa"/>
            <w:shd w:val="clear" w:color="auto" w:fill="auto"/>
            <w:vAlign w:val="center"/>
          </w:tcPr>
          <w:p w14:paraId="15A867AA">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14:paraId="38812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7" w:type="dxa"/>
            <w:vAlign w:val="center"/>
          </w:tcPr>
          <w:p w14:paraId="1E563983">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auto"/>
                <w:szCs w:val="21"/>
                <w:lang w:val="en-US" w:eastAsia="zh-CN"/>
              </w:rPr>
              <w:t>合计</w:t>
            </w:r>
          </w:p>
        </w:tc>
        <w:tc>
          <w:tcPr>
            <w:tcW w:w="1206" w:type="dxa"/>
            <w:shd w:val="clear" w:color="auto" w:fill="auto"/>
            <w:vAlign w:val="center"/>
          </w:tcPr>
          <w:p w14:paraId="636ECB71">
            <w:pPr>
              <w:pStyle w:val="23"/>
              <w:rPr>
                <w:rFonts w:hint="default"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sz w:val="21"/>
                <w:szCs w:val="21"/>
                <w:lang w:val="en-US" w:eastAsia="zh-CN"/>
              </w:rPr>
              <w:t>782</w:t>
            </w:r>
          </w:p>
        </w:tc>
        <w:tc>
          <w:tcPr>
            <w:tcW w:w="1233" w:type="dxa"/>
            <w:shd w:val="clear" w:color="auto" w:fill="auto"/>
            <w:vAlign w:val="center"/>
          </w:tcPr>
          <w:p w14:paraId="19C41E02">
            <w:pPr>
              <w:pStyle w:val="23"/>
              <w:rPr>
                <w:rFonts w:hint="default" w:asciiTheme="minorEastAsia" w:hAnsiTheme="minorEastAsia" w:eastAsiaTheme="minorEastAsia" w:cstheme="minorEastAsia"/>
                <w:kern w:val="0"/>
                <w:sz w:val="21"/>
                <w:szCs w:val="21"/>
                <w:lang w:val="en-US" w:eastAsia="zh-CN" w:bidi="ar-SA"/>
              </w:rPr>
            </w:pPr>
            <w:r>
              <w:rPr>
                <w:rFonts w:hint="eastAsia" w:asciiTheme="minorEastAsia" w:hAnsiTheme="minorEastAsia" w:eastAsiaTheme="minorEastAsia" w:cstheme="minorEastAsia"/>
                <w:sz w:val="21"/>
                <w:szCs w:val="21"/>
                <w:lang w:val="en-US" w:eastAsia="zh-CN"/>
              </w:rPr>
              <w:t>782</w:t>
            </w:r>
          </w:p>
        </w:tc>
        <w:tc>
          <w:tcPr>
            <w:tcW w:w="1206" w:type="dxa"/>
            <w:shd w:val="clear" w:color="auto" w:fill="auto"/>
            <w:vAlign w:val="center"/>
          </w:tcPr>
          <w:p w14:paraId="1560B96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5</w:t>
            </w:r>
          </w:p>
        </w:tc>
        <w:tc>
          <w:tcPr>
            <w:tcW w:w="1383" w:type="dxa"/>
            <w:shd w:val="clear" w:color="auto" w:fill="auto"/>
            <w:vAlign w:val="center"/>
          </w:tcPr>
          <w:p w14:paraId="199566B7">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389D8206">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c>
          <w:tcPr>
            <w:tcW w:w="1344" w:type="dxa"/>
            <w:shd w:val="clear" w:color="auto" w:fill="auto"/>
            <w:vAlign w:val="center"/>
          </w:tcPr>
          <w:p w14:paraId="42D65DBE">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0.64</w:t>
            </w:r>
          </w:p>
        </w:tc>
        <w:tc>
          <w:tcPr>
            <w:tcW w:w="1713" w:type="dxa"/>
            <w:shd w:val="clear" w:color="auto" w:fill="auto"/>
            <w:vAlign w:val="center"/>
          </w:tcPr>
          <w:p w14:paraId="1511C4BD">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0.00</w:t>
            </w:r>
          </w:p>
        </w:tc>
        <w:tc>
          <w:tcPr>
            <w:tcW w:w="1356" w:type="dxa"/>
            <w:shd w:val="clear" w:color="auto" w:fill="auto"/>
            <w:vAlign w:val="center"/>
          </w:tcPr>
          <w:p w14:paraId="63EE5994">
            <w:pPr>
              <w:pStyle w:val="23"/>
              <w:rPr>
                <w:rFonts w:hint="default"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t>5</w:t>
            </w:r>
          </w:p>
        </w:tc>
        <w:tc>
          <w:tcPr>
            <w:tcW w:w="1807" w:type="dxa"/>
            <w:shd w:val="clear" w:color="auto" w:fill="auto"/>
            <w:vAlign w:val="center"/>
          </w:tcPr>
          <w:p w14:paraId="3E229A05">
            <w:pPr>
              <w:pStyle w:val="23"/>
              <w:rPr>
                <w:rFonts w:hint="eastAsia" w:asciiTheme="minorEastAsia" w:hAnsiTheme="minorEastAsia" w:eastAsiaTheme="minorEastAsia" w:cstheme="minorEastAsia"/>
                <w:color w:val="000000" w:themeColor="text1"/>
                <w:kern w:val="0"/>
                <w:sz w:val="21"/>
                <w:szCs w:val="22"/>
                <w:lang w:val="en-US" w:eastAsia="zh-CN" w:bidi="ar-SA"/>
                <w14:textFill>
                  <w14:solidFill>
                    <w14:schemeClr w14:val="tx1"/>
                  </w14:solidFill>
                </w14:textFill>
              </w:rPr>
            </w:pPr>
            <w:r>
              <w:rPr>
                <w:rFonts w:hint="eastAsia" w:asciiTheme="minorEastAsia" w:hAnsiTheme="minorEastAsia" w:eastAsiaTheme="minorEastAsia" w:cstheme="minorEastAsia"/>
                <w:sz w:val="21"/>
                <w:szCs w:val="21"/>
                <w:lang w:val="en-US" w:eastAsia="zh-CN"/>
              </w:rPr>
              <w:t>0</w:t>
            </w:r>
          </w:p>
        </w:tc>
      </w:tr>
      <w:tr w14:paraId="6AFBC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39" w:type="dxa"/>
            <w:gridSpan w:val="10"/>
            <w:tcBorders>
              <w:top w:val="single" w:color="auto" w:sz="12" w:space="0"/>
              <w:bottom w:val="single" w:color="auto" w:sz="12" w:space="0"/>
            </w:tcBorders>
            <w:vAlign w:val="center"/>
          </w:tcPr>
          <w:p w14:paraId="707C19F8">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14:paraId="4DDF9BC9">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14:paraId="69A72CF5">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14:paraId="7F8B695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14:paraId="2F0F868C">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14:paraId="45087ADA">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14:paraId="1BE0083E">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14:paraId="7B2A752F">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14:paraId="4FBD6D65">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09" w:name="_Toc21139"/>
      <w:r>
        <w:rPr>
          <w:rFonts w:hint="eastAsia" w:asciiTheme="majorEastAsia" w:hAnsiTheme="majorEastAsia" w:eastAsiaTheme="majorEastAsia" w:cstheme="majorEastAsia"/>
          <w:sz w:val="21"/>
          <w:szCs w:val="21"/>
          <w:lang w:val="en-US" w:eastAsia="zh-CN"/>
        </w:rPr>
        <w:t>表6.4  山东华油万达化学有限公司2024年第四季度泄漏点复检表</w:t>
      </w:r>
      <w:bookmarkEnd w:id="109"/>
    </w:p>
    <w:tbl>
      <w:tblPr>
        <w:tblStyle w:val="14"/>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14:paraId="2444E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14:paraId="1F31074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14:paraId="4B3CFBFC">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14:paraId="48552B7C">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14:paraId="33466CDF">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14:paraId="21A0433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659" w:type="pct"/>
            <w:tcBorders>
              <w:tl2br w:val="nil"/>
              <w:tr2bl w:val="nil"/>
            </w:tcBorders>
            <w:shd w:val="clear" w:color="auto" w:fill="auto"/>
            <w:vAlign w:val="center"/>
          </w:tcPr>
          <w:p w14:paraId="2EFBBFF8">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14:paraId="6F6453C5">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14:paraId="7EC9A3C0">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14:paraId="2AB11E9B">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14:paraId="1D61681B">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r>
      <w:tr w14:paraId="0B5F4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14:paraId="068788A9">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736" w:type="pct"/>
            <w:tcBorders>
              <w:tl2br w:val="nil"/>
              <w:tr2bl w:val="nil"/>
            </w:tcBorders>
            <w:shd w:val="clear" w:color="auto" w:fill="auto"/>
            <w:vAlign w:val="center"/>
          </w:tcPr>
          <w:p w14:paraId="7A6369A0">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PAM水合工序</w:t>
            </w:r>
          </w:p>
        </w:tc>
        <w:tc>
          <w:tcPr>
            <w:tcW w:w="727" w:type="pct"/>
            <w:tcBorders>
              <w:tl2br w:val="nil"/>
              <w:tr2bl w:val="nil"/>
            </w:tcBorders>
            <w:shd w:val="clear" w:color="auto" w:fill="auto"/>
            <w:vAlign w:val="center"/>
          </w:tcPr>
          <w:p w14:paraId="2C64AECA">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XXPAM0-01-03-003305V</w:t>
            </w:r>
          </w:p>
        </w:tc>
        <w:tc>
          <w:tcPr>
            <w:tcW w:w="281" w:type="pct"/>
            <w:tcBorders>
              <w:tl2br w:val="nil"/>
              <w:tr2bl w:val="nil"/>
            </w:tcBorders>
            <w:shd w:val="clear" w:color="auto" w:fill="auto"/>
            <w:vAlign w:val="center"/>
          </w:tcPr>
          <w:p w14:paraId="4B2BD23F">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05V</w:t>
            </w:r>
          </w:p>
        </w:tc>
        <w:tc>
          <w:tcPr>
            <w:tcW w:w="510" w:type="pct"/>
            <w:tcBorders>
              <w:tl2br w:val="nil"/>
              <w:tr2bl w:val="nil"/>
            </w:tcBorders>
            <w:shd w:val="clear" w:color="auto" w:fill="auto"/>
            <w:vAlign w:val="center"/>
          </w:tcPr>
          <w:p w14:paraId="7718638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R0301A水合釜</w:t>
            </w:r>
          </w:p>
        </w:tc>
        <w:tc>
          <w:tcPr>
            <w:tcW w:w="659" w:type="pct"/>
            <w:tcBorders>
              <w:tl2br w:val="nil"/>
              <w:tr2bl w:val="nil"/>
            </w:tcBorders>
            <w:shd w:val="clear" w:color="auto" w:fill="auto"/>
            <w:vAlign w:val="center"/>
          </w:tcPr>
          <w:p w14:paraId="4A30A643">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R0301C水合釜进料管线阀门</w:t>
            </w:r>
          </w:p>
        </w:tc>
        <w:tc>
          <w:tcPr>
            <w:tcW w:w="454" w:type="pct"/>
            <w:tcBorders>
              <w:tl2br w:val="nil"/>
              <w:tr2bl w:val="nil"/>
            </w:tcBorders>
            <w:shd w:val="clear" w:color="auto" w:fill="FFFFFF" w:themeFill="background1"/>
            <w:vAlign w:val="center"/>
          </w:tcPr>
          <w:p w14:paraId="52F7F0A0">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473" w:type="pct"/>
            <w:tcBorders>
              <w:tl2br w:val="nil"/>
              <w:tr2bl w:val="nil"/>
            </w:tcBorders>
            <w:shd w:val="clear" w:color="auto" w:fill="auto"/>
            <w:vAlign w:val="center"/>
          </w:tcPr>
          <w:p w14:paraId="6BFFE40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3263.4</w:t>
            </w:r>
          </w:p>
        </w:tc>
        <w:tc>
          <w:tcPr>
            <w:tcW w:w="489" w:type="pct"/>
            <w:tcBorders>
              <w:tl2br w:val="nil"/>
              <w:tr2bl w:val="nil"/>
            </w:tcBorders>
            <w:shd w:val="clear" w:color="auto" w:fill="auto"/>
            <w:vAlign w:val="center"/>
          </w:tcPr>
          <w:p w14:paraId="58327FF2">
            <w:pPr>
              <w:widowControl/>
              <w:jc w:val="cente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96.7</w:t>
            </w:r>
          </w:p>
        </w:tc>
        <w:tc>
          <w:tcPr>
            <w:tcW w:w="444" w:type="pct"/>
            <w:tcBorders>
              <w:tl2br w:val="nil"/>
              <w:tr2bl w:val="nil"/>
            </w:tcBorders>
            <w:shd w:val="clear" w:color="auto" w:fill="auto"/>
            <w:vAlign w:val="bottom"/>
          </w:tcPr>
          <w:p w14:paraId="0462E32D">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2024-11-5 10:01:24</w:t>
            </w:r>
          </w:p>
        </w:tc>
      </w:tr>
    </w:tbl>
    <w:p w14:paraId="69B0B71B">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ab/>
      </w:r>
      <w:r>
        <w:rPr>
          <w:rFonts w:hint="eastAsia" w:asciiTheme="majorEastAsia" w:hAnsiTheme="majorEastAsia" w:eastAsiaTheme="majorEastAsia" w:cstheme="majorEastAsia"/>
          <w:lang w:val="en-US" w:eastAsia="zh-CN"/>
        </w:rPr>
        <w:t xml:space="preserve">                    </w:t>
      </w:r>
    </w:p>
    <w:p w14:paraId="6903DDC3">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p>
    <w:p w14:paraId="3C8C02B2">
      <w:pPr>
        <w:pStyle w:val="6"/>
        <w:rPr>
          <w:rFonts w:hint="eastAsia" w:asciiTheme="majorEastAsia" w:hAnsiTheme="majorEastAsia" w:eastAsiaTheme="majorEastAsia" w:cstheme="majorEastAsia"/>
          <w:lang w:val="en-US" w:eastAsia="zh-CN"/>
        </w:rPr>
      </w:pPr>
    </w:p>
    <w:p w14:paraId="7B534D60">
      <w:pPr>
        <w:pStyle w:val="6"/>
        <w:rPr>
          <w:rFonts w:hint="eastAsia" w:asciiTheme="majorEastAsia" w:hAnsiTheme="majorEastAsia" w:eastAsiaTheme="majorEastAsia" w:cstheme="majorEastAsia"/>
          <w:lang w:val="en-US" w:eastAsia="zh-CN"/>
        </w:rPr>
      </w:pPr>
    </w:p>
    <w:p w14:paraId="01ED01E4">
      <w:pPr>
        <w:pStyle w:val="6"/>
        <w:rPr>
          <w:rFonts w:hint="eastAsia" w:asciiTheme="majorEastAsia" w:hAnsiTheme="majorEastAsia" w:eastAsiaTheme="majorEastAsia" w:cstheme="majorEastAsia"/>
          <w:lang w:val="en-US" w:eastAsia="zh-CN"/>
        </w:rPr>
      </w:pPr>
    </w:p>
    <w:p w14:paraId="6DFD89C0">
      <w:pPr>
        <w:pStyle w:val="6"/>
        <w:rPr>
          <w:rFonts w:hint="eastAsia" w:asciiTheme="majorEastAsia" w:hAnsiTheme="majorEastAsia" w:eastAsiaTheme="majorEastAsia" w:cstheme="majorEastAsia"/>
          <w:lang w:val="en-US" w:eastAsia="zh-CN"/>
        </w:rPr>
      </w:pPr>
    </w:p>
    <w:p w14:paraId="047D2C26">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14:paraId="76EDA4E7">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BE862">
    <w:pPr>
      <w:pStyle w:val="8"/>
      <w:rPr>
        <w:rFonts w:hint="default" w:ascii="宋体" w:hAnsi="宋体" w:eastAsia="宋体" w:cs="宋体"/>
        <w:lang w:val="en-US" w:eastAsia="zh-CN"/>
      </w:rPr>
    </w:pPr>
    <w:r>
      <w:rPr>
        <w:rFonts w:hint="eastAsia" w:ascii="宋体" w:hAnsi="宋体" w:eastAsia="宋体" w:cs="宋体"/>
        <w:u w:val="single"/>
        <w:lang w:eastAsia="zh-CN"/>
      </w:rPr>
      <w:t>地址：</w:t>
    </w:r>
    <w:r>
      <w:rPr>
        <w:rFonts w:hint="eastAsia"/>
        <w:u w:val="single"/>
        <w:lang w:val="en-US" w:eastAsia="zh-CN"/>
      </w:rPr>
      <w:t xml:space="preserve">山东省东营市开发区东六路25号1幢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2CF88">
    <w:pPr>
      <w:pStyle w:val="8"/>
    </w:pPr>
  </w:p>
  <w:p w14:paraId="08CC74BB">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A4A1">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FABB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7FABBF">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672E826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08E02">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0F3053">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21</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1C751">
    <w:pPr>
      <w:pStyle w:val="8"/>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432B722">
                    <w:pPr>
                      <w:pStyle w:val="8"/>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lang w:val="en-US" w:eastAsia="zh-CN"/>
                      </w:rPr>
                      <w:t>21</w:t>
                    </w:r>
                    <w:r>
                      <w:t xml:space="preserve"> 页</w:t>
                    </w:r>
                  </w:p>
                </w:txbxContent>
              </v:textbox>
            </v:shape>
          </w:pict>
        </mc:Fallback>
      </mc:AlternateContent>
    </w:r>
    <w:r>
      <w:rPr>
        <w:rFonts w:hint="eastAsia" w:ascii="宋体" w:hAnsi="宋体" w:eastAsia="宋体" w:cs="宋体"/>
        <w:u w:val="single"/>
        <w:lang w:eastAsia="zh-CN"/>
      </w:rPr>
      <w:t>地址：</w:t>
    </w:r>
    <w:r>
      <w:rPr>
        <w:rFonts w:hint="eastAsia"/>
        <w:u w:val="single"/>
        <w:lang w:val="en-US" w:eastAsia="zh-CN"/>
      </w:rPr>
      <w:t>山东省东营市开发区东六路25号1幢</w:t>
    </w:r>
    <w:r>
      <w:rPr>
        <w:rFonts w:hint="eastAsia" w:ascii="宋体" w:hAnsi="宋体" w:cs="宋体"/>
        <w:u w:val="single"/>
        <w:lang w:eastAsia="zh-CN"/>
      </w:rPr>
      <w:t>　</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531C">
    <w:pPr>
      <w:pStyle w:val="9"/>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报告编号：（E检）字（2024）0033号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CCA4">
    <w:pPr>
      <w:pStyle w:val="9"/>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报告编号：（E检）字（2024）0033号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97AD">
    <w:pPr>
      <w:pStyle w:val="9"/>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9504"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报告编号：（E检）字（2024）0033号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0F37">
    <w:pPr>
      <w:pStyle w:val="9"/>
      <w:pBdr>
        <w:bottom w:val="single" w:color="auto" w:sz="4" w:space="1"/>
      </w:pBdr>
      <w:ind w:left="2160" w:hanging="2160" w:hangingChars="1200"/>
      <w:jc w:val="left"/>
      <w:rPr>
        <w:rFonts w:hint="default"/>
        <w:lang w:val="en-US" w:eastAsia="zh-CN"/>
      </w:rPr>
    </w:pPr>
    <w:r>
      <w:drawing>
        <wp:anchor distT="0" distB="0" distL="114300" distR="114300" simplePos="0" relativeHeight="251667456"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报告编号：（E检）字（2024）0033号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5574FC"/>
    <w:rsid w:val="007A51B4"/>
    <w:rsid w:val="00885B23"/>
    <w:rsid w:val="009A6B35"/>
    <w:rsid w:val="00A73864"/>
    <w:rsid w:val="00AD10E6"/>
    <w:rsid w:val="00DA5C53"/>
    <w:rsid w:val="01080A12"/>
    <w:rsid w:val="01412E7F"/>
    <w:rsid w:val="01465D58"/>
    <w:rsid w:val="014F03EF"/>
    <w:rsid w:val="01674A91"/>
    <w:rsid w:val="01692BFA"/>
    <w:rsid w:val="01714809"/>
    <w:rsid w:val="01DB7ED5"/>
    <w:rsid w:val="01F80A87"/>
    <w:rsid w:val="01FD609D"/>
    <w:rsid w:val="021D105C"/>
    <w:rsid w:val="023D0B8F"/>
    <w:rsid w:val="024E06A7"/>
    <w:rsid w:val="02597AF6"/>
    <w:rsid w:val="02781BC8"/>
    <w:rsid w:val="02881E0B"/>
    <w:rsid w:val="029F00AC"/>
    <w:rsid w:val="02A72070"/>
    <w:rsid w:val="02DA018C"/>
    <w:rsid w:val="02E34B7F"/>
    <w:rsid w:val="02F70D3E"/>
    <w:rsid w:val="02FA438B"/>
    <w:rsid w:val="03031491"/>
    <w:rsid w:val="03034482"/>
    <w:rsid w:val="030B2DD4"/>
    <w:rsid w:val="03100052"/>
    <w:rsid w:val="03392C07"/>
    <w:rsid w:val="033F00F2"/>
    <w:rsid w:val="034C72DC"/>
    <w:rsid w:val="034F0AF5"/>
    <w:rsid w:val="035F6CF1"/>
    <w:rsid w:val="037665D5"/>
    <w:rsid w:val="03936CB9"/>
    <w:rsid w:val="03C74F98"/>
    <w:rsid w:val="03D911C1"/>
    <w:rsid w:val="03FF4509"/>
    <w:rsid w:val="04082AD7"/>
    <w:rsid w:val="04267B2D"/>
    <w:rsid w:val="04336046"/>
    <w:rsid w:val="04365580"/>
    <w:rsid w:val="04533F71"/>
    <w:rsid w:val="0458352F"/>
    <w:rsid w:val="045D72C7"/>
    <w:rsid w:val="046154B9"/>
    <w:rsid w:val="047828C4"/>
    <w:rsid w:val="04892F2B"/>
    <w:rsid w:val="04926F71"/>
    <w:rsid w:val="04DA0918"/>
    <w:rsid w:val="04F66CFF"/>
    <w:rsid w:val="05191440"/>
    <w:rsid w:val="052878D5"/>
    <w:rsid w:val="05432019"/>
    <w:rsid w:val="054B35C3"/>
    <w:rsid w:val="05524952"/>
    <w:rsid w:val="055E0A65"/>
    <w:rsid w:val="05762C96"/>
    <w:rsid w:val="05894800"/>
    <w:rsid w:val="059135A8"/>
    <w:rsid w:val="05BE42EB"/>
    <w:rsid w:val="05D11D1B"/>
    <w:rsid w:val="05DB04A3"/>
    <w:rsid w:val="060A0D89"/>
    <w:rsid w:val="06135E8F"/>
    <w:rsid w:val="061439B5"/>
    <w:rsid w:val="06143BE5"/>
    <w:rsid w:val="061A08DC"/>
    <w:rsid w:val="0624009C"/>
    <w:rsid w:val="062F07EF"/>
    <w:rsid w:val="06345E06"/>
    <w:rsid w:val="06347F9B"/>
    <w:rsid w:val="06471FDD"/>
    <w:rsid w:val="06845857"/>
    <w:rsid w:val="0687062B"/>
    <w:rsid w:val="0696086E"/>
    <w:rsid w:val="06BF6017"/>
    <w:rsid w:val="06C4362D"/>
    <w:rsid w:val="06E16F8E"/>
    <w:rsid w:val="070E6657"/>
    <w:rsid w:val="07554285"/>
    <w:rsid w:val="077566D6"/>
    <w:rsid w:val="078D3A1F"/>
    <w:rsid w:val="079A613C"/>
    <w:rsid w:val="07A07E9A"/>
    <w:rsid w:val="08144141"/>
    <w:rsid w:val="084F2612"/>
    <w:rsid w:val="08844E22"/>
    <w:rsid w:val="089A6539"/>
    <w:rsid w:val="08BF2448"/>
    <w:rsid w:val="08BF496D"/>
    <w:rsid w:val="08C23B9D"/>
    <w:rsid w:val="08DB4A20"/>
    <w:rsid w:val="08F31FA8"/>
    <w:rsid w:val="092C7268"/>
    <w:rsid w:val="09436A8B"/>
    <w:rsid w:val="09736C45"/>
    <w:rsid w:val="09784E13"/>
    <w:rsid w:val="09842C00"/>
    <w:rsid w:val="098F629B"/>
    <w:rsid w:val="09BA2AC6"/>
    <w:rsid w:val="09C33728"/>
    <w:rsid w:val="09EA2DF9"/>
    <w:rsid w:val="09F63460"/>
    <w:rsid w:val="0A1977EC"/>
    <w:rsid w:val="0A306BC3"/>
    <w:rsid w:val="0A5D3B7D"/>
    <w:rsid w:val="0A681350"/>
    <w:rsid w:val="0A981059"/>
    <w:rsid w:val="0AE40B15"/>
    <w:rsid w:val="0B2A197E"/>
    <w:rsid w:val="0B3B01C0"/>
    <w:rsid w:val="0B792C38"/>
    <w:rsid w:val="0B7F3FC7"/>
    <w:rsid w:val="0B9510F4"/>
    <w:rsid w:val="0B9A495D"/>
    <w:rsid w:val="0BA14992"/>
    <w:rsid w:val="0BB21CA6"/>
    <w:rsid w:val="0BB56CC5"/>
    <w:rsid w:val="0BD55995"/>
    <w:rsid w:val="0C0F1C1F"/>
    <w:rsid w:val="0C1452FE"/>
    <w:rsid w:val="0C236700"/>
    <w:rsid w:val="0C245EB6"/>
    <w:rsid w:val="0C4274CE"/>
    <w:rsid w:val="0CA27B19"/>
    <w:rsid w:val="0CB41A4E"/>
    <w:rsid w:val="0CCF7855"/>
    <w:rsid w:val="0CD619C5"/>
    <w:rsid w:val="0CD93263"/>
    <w:rsid w:val="0CEE4F60"/>
    <w:rsid w:val="0CF87B8D"/>
    <w:rsid w:val="0CFB767D"/>
    <w:rsid w:val="0D1A5D55"/>
    <w:rsid w:val="0D49663A"/>
    <w:rsid w:val="0D616E33"/>
    <w:rsid w:val="0D9A50E8"/>
    <w:rsid w:val="0D9A6E96"/>
    <w:rsid w:val="0DB5782C"/>
    <w:rsid w:val="0DD3520B"/>
    <w:rsid w:val="0DDC125D"/>
    <w:rsid w:val="0E056A05"/>
    <w:rsid w:val="0E407A3D"/>
    <w:rsid w:val="0E433324"/>
    <w:rsid w:val="0E72396F"/>
    <w:rsid w:val="0E7D2A40"/>
    <w:rsid w:val="0EAA135B"/>
    <w:rsid w:val="0EC74C14"/>
    <w:rsid w:val="0F205179"/>
    <w:rsid w:val="0F3B0205"/>
    <w:rsid w:val="0F575422"/>
    <w:rsid w:val="0F8B2F3A"/>
    <w:rsid w:val="0FD8265B"/>
    <w:rsid w:val="10032854"/>
    <w:rsid w:val="10146177"/>
    <w:rsid w:val="1043621B"/>
    <w:rsid w:val="104E5D16"/>
    <w:rsid w:val="10967DE9"/>
    <w:rsid w:val="109C2F25"/>
    <w:rsid w:val="10E5667A"/>
    <w:rsid w:val="10EC7A09"/>
    <w:rsid w:val="111B7552"/>
    <w:rsid w:val="111D5E14"/>
    <w:rsid w:val="11244BCC"/>
    <w:rsid w:val="1147452F"/>
    <w:rsid w:val="115A7068"/>
    <w:rsid w:val="119C142F"/>
    <w:rsid w:val="11D82B0C"/>
    <w:rsid w:val="11DD55A3"/>
    <w:rsid w:val="11F528ED"/>
    <w:rsid w:val="11FF6A9B"/>
    <w:rsid w:val="12011292"/>
    <w:rsid w:val="120D40DA"/>
    <w:rsid w:val="12296A3A"/>
    <w:rsid w:val="12386C7D"/>
    <w:rsid w:val="126161D4"/>
    <w:rsid w:val="12693C71"/>
    <w:rsid w:val="12747CB6"/>
    <w:rsid w:val="128123D2"/>
    <w:rsid w:val="12867959"/>
    <w:rsid w:val="12B10F0A"/>
    <w:rsid w:val="12CF75E2"/>
    <w:rsid w:val="12DC585B"/>
    <w:rsid w:val="12DE2EFC"/>
    <w:rsid w:val="1310245D"/>
    <w:rsid w:val="131A4BDF"/>
    <w:rsid w:val="133B313A"/>
    <w:rsid w:val="13482EF0"/>
    <w:rsid w:val="1356385F"/>
    <w:rsid w:val="13623FB2"/>
    <w:rsid w:val="138F5895"/>
    <w:rsid w:val="13C47848"/>
    <w:rsid w:val="13D529D6"/>
    <w:rsid w:val="13DF1AA7"/>
    <w:rsid w:val="140432BB"/>
    <w:rsid w:val="14045069"/>
    <w:rsid w:val="14103A0E"/>
    <w:rsid w:val="146C3693"/>
    <w:rsid w:val="14706BA3"/>
    <w:rsid w:val="14CD5DA3"/>
    <w:rsid w:val="14CF7E31"/>
    <w:rsid w:val="15086DDB"/>
    <w:rsid w:val="1524402C"/>
    <w:rsid w:val="155335C5"/>
    <w:rsid w:val="1571672E"/>
    <w:rsid w:val="15787ABD"/>
    <w:rsid w:val="1594066F"/>
    <w:rsid w:val="15DA2525"/>
    <w:rsid w:val="15E6711C"/>
    <w:rsid w:val="15E970BB"/>
    <w:rsid w:val="15FE1B72"/>
    <w:rsid w:val="16347A1B"/>
    <w:rsid w:val="167F30CD"/>
    <w:rsid w:val="168C249A"/>
    <w:rsid w:val="17013AE2"/>
    <w:rsid w:val="17035AAC"/>
    <w:rsid w:val="17575DF8"/>
    <w:rsid w:val="176C3651"/>
    <w:rsid w:val="177F5383"/>
    <w:rsid w:val="17944956"/>
    <w:rsid w:val="17B61B17"/>
    <w:rsid w:val="17BE19D3"/>
    <w:rsid w:val="17C55F96"/>
    <w:rsid w:val="17E82683"/>
    <w:rsid w:val="17EE4066"/>
    <w:rsid w:val="17F11DA8"/>
    <w:rsid w:val="18097F2F"/>
    <w:rsid w:val="183A54FD"/>
    <w:rsid w:val="183C5270"/>
    <w:rsid w:val="186F1BC2"/>
    <w:rsid w:val="187E32E2"/>
    <w:rsid w:val="18C96881"/>
    <w:rsid w:val="18CA0886"/>
    <w:rsid w:val="18CE2D30"/>
    <w:rsid w:val="18E762A1"/>
    <w:rsid w:val="191E097B"/>
    <w:rsid w:val="191F64A1"/>
    <w:rsid w:val="192341E3"/>
    <w:rsid w:val="19600F94"/>
    <w:rsid w:val="19726F19"/>
    <w:rsid w:val="19751F5E"/>
    <w:rsid w:val="19932D33"/>
    <w:rsid w:val="19AA0461"/>
    <w:rsid w:val="19BB266E"/>
    <w:rsid w:val="19CB5E4C"/>
    <w:rsid w:val="19E33973"/>
    <w:rsid w:val="19FB2A6A"/>
    <w:rsid w:val="1A1F0E4F"/>
    <w:rsid w:val="1A226249"/>
    <w:rsid w:val="1A4B0100"/>
    <w:rsid w:val="1A4B5654"/>
    <w:rsid w:val="1A5A1E87"/>
    <w:rsid w:val="1A6241C8"/>
    <w:rsid w:val="1A7C578A"/>
    <w:rsid w:val="1A825E26"/>
    <w:rsid w:val="1A89276C"/>
    <w:rsid w:val="1ABD5F72"/>
    <w:rsid w:val="1AC742B5"/>
    <w:rsid w:val="1AF12508"/>
    <w:rsid w:val="1AF44089"/>
    <w:rsid w:val="1AFF658A"/>
    <w:rsid w:val="1B0D6EF9"/>
    <w:rsid w:val="1B1C538E"/>
    <w:rsid w:val="1B4B7A22"/>
    <w:rsid w:val="1B740D26"/>
    <w:rsid w:val="1B862808"/>
    <w:rsid w:val="1BAD2CFD"/>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B7B0B"/>
    <w:rsid w:val="1D2D5631"/>
    <w:rsid w:val="1D2F0211"/>
    <w:rsid w:val="1D41732E"/>
    <w:rsid w:val="1D5D48F4"/>
    <w:rsid w:val="1D75199D"/>
    <w:rsid w:val="1D81597C"/>
    <w:rsid w:val="1D8D2573"/>
    <w:rsid w:val="1DF24184"/>
    <w:rsid w:val="1DF4614E"/>
    <w:rsid w:val="1E087E4C"/>
    <w:rsid w:val="1E4A5D6E"/>
    <w:rsid w:val="1EB37DB8"/>
    <w:rsid w:val="1EC30D1B"/>
    <w:rsid w:val="1EE76D90"/>
    <w:rsid w:val="1EEB7551"/>
    <w:rsid w:val="1EEC217F"/>
    <w:rsid w:val="1F58270D"/>
    <w:rsid w:val="1F882FF2"/>
    <w:rsid w:val="1F8B366A"/>
    <w:rsid w:val="1F9574BD"/>
    <w:rsid w:val="1FA12306"/>
    <w:rsid w:val="1FAC759E"/>
    <w:rsid w:val="1FAD2A59"/>
    <w:rsid w:val="1FF266BE"/>
    <w:rsid w:val="20566C4C"/>
    <w:rsid w:val="208512E0"/>
    <w:rsid w:val="20AB2CE9"/>
    <w:rsid w:val="20C04E62"/>
    <w:rsid w:val="214116AB"/>
    <w:rsid w:val="214259F5"/>
    <w:rsid w:val="2158624D"/>
    <w:rsid w:val="217A0481"/>
    <w:rsid w:val="21A73447"/>
    <w:rsid w:val="21A94385"/>
    <w:rsid w:val="21E851B1"/>
    <w:rsid w:val="21F42BC1"/>
    <w:rsid w:val="2217065D"/>
    <w:rsid w:val="224E271B"/>
    <w:rsid w:val="22714212"/>
    <w:rsid w:val="22992BFF"/>
    <w:rsid w:val="22BD2FB3"/>
    <w:rsid w:val="22C407E5"/>
    <w:rsid w:val="22D14CB0"/>
    <w:rsid w:val="22F30AA5"/>
    <w:rsid w:val="23007343"/>
    <w:rsid w:val="23303437"/>
    <w:rsid w:val="233174FD"/>
    <w:rsid w:val="2335523F"/>
    <w:rsid w:val="234A2BA6"/>
    <w:rsid w:val="2358717F"/>
    <w:rsid w:val="23810484"/>
    <w:rsid w:val="23A10B26"/>
    <w:rsid w:val="23AC3027"/>
    <w:rsid w:val="240D3AC6"/>
    <w:rsid w:val="242C1EF7"/>
    <w:rsid w:val="246062EC"/>
    <w:rsid w:val="2463402E"/>
    <w:rsid w:val="24681644"/>
    <w:rsid w:val="24724271"/>
    <w:rsid w:val="249661B1"/>
    <w:rsid w:val="24990502"/>
    <w:rsid w:val="24AC7783"/>
    <w:rsid w:val="24B634E8"/>
    <w:rsid w:val="252707D2"/>
    <w:rsid w:val="255F47F5"/>
    <w:rsid w:val="258B6B8A"/>
    <w:rsid w:val="25981AB5"/>
    <w:rsid w:val="25C97EC1"/>
    <w:rsid w:val="25D419BB"/>
    <w:rsid w:val="25F50CB6"/>
    <w:rsid w:val="2604171C"/>
    <w:rsid w:val="26144D4E"/>
    <w:rsid w:val="26190E48"/>
    <w:rsid w:val="261D1FBA"/>
    <w:rsid w:val="264E5315"/>
    <w:rsid w:val="26695200"/>
    <w:rsid w:val="26741610"/>
    <w:rsid w:val="26751DF6"/>
    <w:rsid w:val="26A8654C"/>
    <w:rsid w:val="26BC17D3"/>
    <w:rsid w:val="26E94069"/>
    <w:rsid w:val="26EC030B"/>
    <w:rsid w:val="270E195B"/>
    <w:rsid w:val="27160EE4"/>
    <w:rsid w:val="27172737"/>
    <w:rsid w:val="273121C1"/>
    <w:rsid w:val="27677991"/>
    <w:rsid w:val="27792C23"/>
    <w:rsid w:val="277A3B68"/>
    <w:rsid w:val="278422F1"/>
    <w:rsid w:val="27A42993"/>
    <w:rsid w:val="27BD555B"/>
    <w:rsid w:val="27E47234"/>
    <w:rsid w:val="28061AB2"/>
    <w:rsid w:val="280C22E7"/>
    <w:rsid w:val="28295051"/>
    <w:rsid w:val="283261F1"/>
    <w:rsid w:val="2849353B"/>
    <w:rsid w:val="287A0FD5"/>
    <w:rsid w:val="28B27332"/>
    <w:rsid w:val="28B9246E"/>
    <w:rsid w:val="28BC1F5F"/>
    <w:rsid w:val="28ED3EC6"/>
    <w:rsid w:val="297653C6"/>
    <w:rsid w:val="29A232CE"/>
    <w:rsid w:val="29A24CB1"/>
    <w:rsid w:val="29D50F6E"/>
    <w:rsid w:val="29E4176D"/>
    <w:rsid w:val="29EA6657"/>
    <w:rsid w:val="2A123103"/>
    <w:rsid w:val="2A1853C2"/>
    <w:rsid w:val="2A297180"/>
    <w:rsid w:val="2A691C72"/>
    <w:rsid w:val="2A70263E"/>
    <w:rsid w:val="2A8645D2"/>
    <w:rsid w:val="2A930A9D"/>
    <w:rsid w:val="2AB15E23"/>
    <w:rsid w:val="2AD0584D"/>
    <w:rsid w:val="2B2160A9"/>
    <w:rsid w:val="2B2568D7"/>
    <w:rsid w:val="2B342280"/>
    <w:rsid w:val="2B9B05D5"/>
    <w:rsid w:val="2BA2543C"/>
    <w:rsid w:val="2BAC4B69"/>
    <w:rsid w:val="2BE041B6"/>
    <w:rsid w:val="2C1856FE"/>
    <w:rsid w:val="2C2C11A9"/>
    <w:rsid w:val="2C532BDA"/>
    <w:rsid w:val="2C576226"/>
    <w:rsid w:val="2C5A5D16"/>
    <w:rsid w:val="2C5A78B7"/>
    <w:rsid w:val="2C622E1D"/>
    <w:rsid w:val="2C624BCB"/>
    <w:rsid w:val="2C640943"/>
    <w:rsid w:val="2C7548FE"/>
    <w:rsid w:val="2C772424"/>
    <w:rsid w:val="2C844B41"/>
    <w:rsid w:val="2CB25B52"/>
    <w:rsid w:val="2CC31B0E"/>
    <w:rsid w:val="2D0839C4"/>
    <w:rsid w:val="2D144117"/>
    <w:rsid w:val="2D405CF2"/>
    <w:rsid w:val="2D5D6E68"/>
    <w:rsid w:val="2D5E35E4"/>
    <w:rsid w:val="2D7E6D4D"/>
    <w:rsid w:val="2DA37249"/>
    <w:rsid w:val="2DBE22D5"/>
    <w:rsid w:val="2DC23B73"/>
    <w:rsid w:val="2DC84F02"/>
    <w:rsid w:val="2DD45BA6"/>
    <w:rsid w:val="2E20089A"/>
    <w:rsid w:val="2E456552"/>
    <w:rsid w:val="2E4A57EF"/>
    <w:rsid w:val="2E541F3F"/>
    <w:rsid w:val="2E6438CA"/>
    <w:rsid w:val="2EAB0AAB"/>
    <w:rsid w:val="2ED973C6"/>
    <w:rsid w:val="2EEE0998"/>
    <w:rsid w:val="2EFE507F"/>
    <w:rsid w:val="2F032695"/>
    <w:rsid w:val="2F3E547B"/>
    <w:rsid w:val="2F633D0C"/>
    <w:rsid w:val="2F7215C9"/>
    <w:rsid w:val="2F745341"/>
    <w:rsid w:val="2FA63021"/>
    <w:rsid w:val="304F498E"/>
    <w:rsid w:val="30607673"/>
    <w:rsid w:val="30676C54"/>
    <w:rsid w:val="30A27C8C"/>
    <w:rsid w:val="30AC6D16"/>
    <w:rsid w:val="30B8125D"/>
    <w:rsid w:val="312A215B"/>
    <w:rsid w:val="31501496"/>
    <w:rsid w:val="31724735"/>
    <w:rsid w:val="3177710D"/>
    <w:rsid w:val="317E6003"/>
    <w:rsid w:val="31903F88"/>
    <w:rsid w:val="319E7B66"/>
    <w:rsid w:val="31A57A34"/>
    <w:rsid w:val="31AD0696"/>
    <w:rsid w:val="31B67AC5"/>
    <w:rsid w:val="31BD2FCF"/>
    <w:rsid w:val="31C14142"/>
    <w:rsid w:val="31FE5396"/>
    <w:rsid w:val="32116E77"/>
    <w:rsid w:val="321D1CFC"/>
    <w:rsid w:val="322779B9"/>
    <w:rsid w:val="3229655F"/>
    <w:rsid w:val="322C1F03"/>
    <w:rsid w:val="32676A97"/>
    <w:rsid w:val="32805DAB"/>
    <w:rsid w:val="329655CE"/>
    <w:rsid w:val="32AA7D8C"/>
    <w:rsid w:val="32AC42BE"/>
    <w:rsid w:val="32BA306B"/>
    <w:rsid w:val="32C91500"/>
    <w:rsid w:val="32CB1F6F"/>
    <w:rsid w:val="32D00AE0"/>
    <w:rsid w:val="3301513E"/>
    <w:rsid w:val="330A1DBD"/>
    <w:rsid w:val="332130EA"/>
    <w:rsid w:val="333C43C8"/>
    <w:rsid w:val="33811DDB"/>
    <w:rsid w:val="33DC34B5"/>
    <w:rsid w:val="33DE722D"/>
    <w:rsid w:val="33E12879"/>
    <w:rsid w:val="33EF414B"/>
    <w:rsid w:val="342235BE"/>
    <w:rsid w:val="34264730"/>
    <w:rsid w:val="34557FC2"/>
    <w:rsid w:val="34626A80"/>
    <w:rsid w:val="34675474"/>
    <w:rsid w:val="34833930"/>
    <w:rsid w:val="34951FE2"/>
    <w:rsid w:val="349956B3"/>
    <w:rsid w:val="34A55F9D"/>
    <w:rsid w:val="34B00BC9"/>
    <w:rsid w:val="34E12B19"/>
    <w:rsid w:val="34E62997"/>
    <w:rsid w:val="34F860CC"/>
    <w:rsid w:val="353115DE"/>
    <w:rsid w:val="353D7F83"/>
    <w:rsid w:val="35675000"/>
    <w:rsid w:val="35944047"/>
    <w:rsid w:val="35951B6D"/>
    <w:rsid w:val="359F479A"/>
    <w:rsid w:val="35E36B0D"/>
    <w:rsid w:val="362722E5"/>
    <w:rsid w:val="362F3D70"/>
    <w:rsid w:val="36301F89"/>
    <w:rsid w:val="36563EA7"/>
    <w:rsid w:val="368045CB"/>
    <w:rsid w:val="36883480"/>
    <w:rsid w:val="369938DF"/>
    <w:rsid w:val="369E2CA4"/>
    <w:rsid w:val="36E508D2"/>
    <w:rsid w:val="370B658B"/>
    <w:rsid w:val="371116C7"/>
    <w:rsid w:val="373F4487"/>
    <w:rsid w:val="3757357E"/>
    <w:rsid w:val="37B35B5D"/>
    <w:rsid w:val="37B60986"/>
    <w:rsid w:val="37BC1633"/>
    <w:rsid w:val="37D03331"/>
    <w:rsid w:val="37D921E5"/>
    <w:rsid w:val="37DD2E0C"/>
    <w:rsid w:val="37EF6127"/>
    <w:rsid w:val="37FB65FF"/>
    <w:rsid w:val="38006634"/>
    <w:rsid w:val="38190834"/>
    <w:rsid w:val="38305B7D"/>
    <w:rsid w:val="384C4EC2"/>
    <w:rsid w:val="386D5023"/>
    <w:rsid w:val="388D05D2"/>
    <w:rsid w:val="38A36BCE"/>
    <w:rsid w:val="38C06F01"/>
    <w:rsid w:val="38C569BF"/>
    <w:rsid w:val="38CF7E3F"/>
    <w:rsid w:val="38DB01DF"/>
    <w:rsid w:val="38E34501"/>
    <w:rsid w:val="390A424D"/>
    <w:rsid w:val="393A4E57"/>
    <w:rsid w:val="395744BD"/>
    <w:rsid w:val="39657678"/>
    <w:rsid w:val="397C544B"/>
    <w:rsid w:val="398243D2"/>
    <w:rsid w:val="399D5830"/>
    <w:rsid w:val="39BA4298"/>
    <w:rsid w:val="39C173D5"/>
    <w:rsid w:val="39CF53D6"/>
    <w:rsid w:val="39D61F15"/>
    <w:rsid w:val="39D8471E"/>
    <w:rsid w:val="3A257964"/>
    <w:rsid w:val="3A374B2D"/>
    <w:rsid w:val="3A3E27D3"/>
    <w:rsid w:val="3A4678DA"/>
    <w:rsid w:val="3A703C28"/>
    <w:rsid w:val="3A706705"/>
    <w:rsid w:val="3A777A93"/>
    <w:rsid w:val="3A85106E"/>
    <w:rsid w:val="3AC84793"/>
    <w:rsid w:val="3AE96BE3"/>
    <w:rsid w:val="3AF61300"/>
    <w:rsid w:val="3B3D0CDD"/>
    <w:rsid w:val="3B5D137F"/>
    <w:rsid w:val="3B697D24"/>
    <w:rsid w:val="3BAF79CF"/>
    <w:rsid w:val="3BB85130"/>
    <w:rsid w:val="3BCB62E9"/>
    <w:rsid w:val="3BDD601C"/>
    <w:rsid w:val="3BE67536"/>
    <w:rsid w:val="3BF61492"/>
    <w:rsid w:val="3C025A83"/>
    <w:rsid w:val="3C090BBF"/>
    <w:rsid w:val="3C17152E"/>
    <w:rsid w:val="3C6D55F2"/>
    <w:rsid w:val="3C94492D"/>
    <w:rsid w:val="3C990195"/>
    <w:rsid w:val="3CB23005"/>
    <w:rsid w:val="3CDC60C6"/>
    <w:rsid w:val="3CEA023A"/>
    <w:rsid w:val="3CF74EBC"/>
    <w:rsid w:val="3CF75B8E"/>
    <w:rsid w:val="3D513BA1"/>
    <w:rsid w:val="3D5347E8"/>
    <w:rsid w:val="3D6267D9"/>
    <w:rsid w:val="3DB8289D"/>
    <w:rsid w:val="3DBC7C7D"/>
    <w:rsid w:val="3DE23DBE"/>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662560"/>
    <w:rsid w:val="40703903"/>
    <w:rsid w:val="40CB6D8B"/>
    <w:rsid w:val="41320BB8"/>
    <w:rsid w:val="41405083"/>
    <w:rsid w:val="41452699"/>
    <w:rsid w:val="416B7C26"/>
    <w:rsid w:val="417108A0"/>
    <w:rsid w:val="41936AC3"/>
    <w:rsid w:val="419E1DAA"/>
    <w:rsid w:val="41BB6E00"/>
    <w:rsid w:val="41CA1DD4"/>
    <w:rsid w:val="41CF4659"/>
    <w:rsid w:val="41DB1250"/>
    <w:rsid w:val="41FD3E50"/>
    <w:rsid w:val="42044303"/>
    <w:rsid w:val="42106F48"/>
    <w:rsid w:val="421F113C"/>
    <w:rsid w:val="42220C2D"/>
    <w:rsid w:val="42366486"/>
    <w:rsid w:val="425132C0"/>
    <w:rsid w:val="426D634C"/>
    <w:rsid w:val="42921365"/>
    <w:rsid w:val="42BE6BA7"/>
    <w:rsid w:val="42C972FA"/>
    <w:rsid w:val="42E61C5A"/>
    <w:rsid w:val="43160791"/>
    <w:rsid w:val="43360EB8"/>
    <w:rsid w:val="433E584E"/>
    <w:rsid w:val="435766B4"/>
    <w:rsid w:val="43776D56"/>
    <w:rsid w:val="438C0A54"/>
    <w:rsid w:val="438F22F2"/>
    <w:rsid w:val="438F5E4E"/>
    <w:rsid w:val="43D23F8D"/>
    <w:rsid w:val="43DF5653"/>
    <w:rsid w:val="44004F9E"/>
    <w:rsid w:val="440B3B62"/>
    <w:rsid w:val="44114AB5"/>
    <w:rsid w:val="44305883"/>
    <w:rsid w:val="443469F5"/>
    <w:rsid w:val="443F7874"/>
    <w:rsid w:val="44A14066"/>
    <w:rsid w:val="44BE6B77"/>
    <w:rsid w:val="44D22496"/>
    <w:rsid w:val="44DA134B"/>
    <w:rsid w:val="44EF12BE"/>
    <w:rsid w:val="45050ABD"/>
    <w:rsid w:val="4521341D"/>
    <w:rsid w:val="452A31DF"/>
    <w:rsid w:val="455530C7"/>
    <w:rsid w:val="45633A36"/>
    <w:rsid w:val="45806396"/>
    <w:rsid w:val="45885BCA"/>
    <w:rsid w:val="45AF0A29"/>
    <w:rsid w:val="45BB5620"/>
    <w:rsid w:val="45CC15DB"/>
    <w:rsid w:val="46543991"/>
    <w:rsid w:val="46971BE9"/>
    <w:rsid w:val="46FD57C4"/>
    <w:rsid w:val="472471F5"/>
    <w:rsid w:val="473016F6"/>
    <w:rsid w:val="475A49C5"/>
    <w:rsid w:val="475A6773"/>
    <w:rsid w:val="47716A9C"/>
    <w:rsid w:val="47A520E4"/>
    <w:rsid w:val="48083ADD"/>
    <w:rsid w:val="4872249E"/>
    <w:rsid w:val="48D43A0A"/>
    <w:rsid w:val="48D6699E"/>
    <w:rsid w:val="48F13107"/>
    <w:rsid w:val="490908C5"/>
    <w:rsid w:val="49311755"/>
    <w:rsid w:val="4958156F"/>
    <w:rsid w:val="496658A3"/>
    <w:rsid w:val="497E2BEC"/>
    <w:rsid w:val="49921E2A"/>
    <w:rsid w:val="49C1060A"/>
    <w:rsid w:val="49CA215F"/>
    <w:rsid w:val="49E31676"/>
    <w:rsid w:val="49FD6207"/>
    <w:rsid w:val="4A2117CA"/>
    <w:rsid w:val="4A8113B6"/>
    <w:rsid w:val="4AC26B09"/>
    <w:rsid w:val="4AE271AB"/>
    <w:rsid w:val="4B1730BE"/>
    <w:rsid w:val="4B296B88"/>
    <w:rsid w:val="4B35552D"/>
    <w:rsid w:val="4B46598C"/>
    <w:rsid w:val="4B6B0F4E"/>
    <w:rsid w:val="4BD55CC5"/>
    <w:rsid w:val="4BD74669"/>
    <w:rsid w:val="4BF35BAB"/>
    <w:rsid w:val="4BFC429C"/>
    <w:rsid w:val="4C10618C"/>
    <w:rsid w:val="4C673E0C"/>
    <w:rsid w:val="4C8C5620"/>
    <w:rsid w:val="4C924C68"/>
    <w:rsid w:val="4CA50490"/>
    <w:rsid w:val="4CAA3CF8"/>
    <w:rsid w:val="4CCB656B"/>
    <w:rsid w:val="4CCD336D"/>
    <w:rsid w:val="4D4759EB"/>
    <w:rsid w:val="4D5D0D6B"/>
    <w:rsid w:val="4D681722"/>
    <w:rsid w:val="4D7560B4"/>
    <w:rsid w:val="4D804F96"/>
    <w:rsid w:val="4DA8648A"/>
    <w:rsid w:val="4DFB79B8"/>
    <w:rsid w:val="4E0839BF"/>
    <w:rsid w:val="4E127DA7"/>
    <w:rsid w:val="4E41243B"/>
    <w:rsid w:val="4E4D452F"/>
    <w:rsid w:val="4E557601"/>
    <w:rsid w:val="4E8F13F8"/>
    <w:rsid w:val="4E916F1E"/>
    <w:rsid w:val="4EB44A1C"/>
    <w:rsid w:val="4EC217CD"/>
    <w:rsid w:val="4EDB463D"/>
    <w:rsid w:val="4EF65579"/>
    <w:rsid w:val="4F764366"/>
    <w:rsid w:val="4F840831"/>
    <w:rsid w:val="4F9F4AC1"/>
    <w:rsid w:val="4FA40ED3"/>
    <w:rsid w:val="4FB31116"/>
    <w:rsid w:val="4FCB46B2"/>
    <w:rsid w:val="4FD050CD"/>
    <w:rsid w:val="4FEC63D6"/>
    <w:rsid w:val="4FF12116"/>
    <w:rsid w:val="4FF249A8"/>
    <w:rsid w:val="50011E81"/>
    <w:rsid w:val="500842E2"/>
    <w:rsid w:val="50167979"/>
    <w:rsid w:val="507765E7"/>
    <w:rsid w:val="50820BC6"/>
    <w:rsid w:val="50903B0E"/>
    <w:rsid w:val="50E81293"/>
    <w:rsid w:val="50EE06F3"/>
    <w:rsid w:val="50F465B6"/>
    <w:rsid w:val="51031C29"/>
    <w:rsid w:val="51624765"/>
    <w:rsid w:val="518A5EA7"/>
    <w:rsid w:val="51A056F2"/>
    <w:rsid w:val="51AE7DE7"/>
    <w:rsid w:val="51C05ECE"/>
    <w:rsid w:val="51C07B1A"/>
    <w:rsid w:val="51D535C6"/>
    <w:rsid w:val="51E56D41"/>
    <w:rsid w:val="51EE3840"/>
    <w:rsid w:val="52210174"/>
    <w:rsid w:val="52232583"/>
    <w:rsid w:val="522444AD"/>
    <w:rsid w:val="526C1A43"/>
    <w:rsid w:val="52707792"/>
    <w:rsid w:val="527C4B7E"/>
    <w:rsid w:val="52A42F98"/>
    <w:rsid w:val="52B16352"/>
    <w:rsid w:val="52BE22AC"/>
    <w:rsid w:val="52DB4C0C"/>
    <w:rsid w:val="52E9057F"/>
    <w:rsid w:val="52F55F06"/>
    <w:rsid w:val="53114AD1"/>
    <w:rsid w:val="53424C8B"/>
    <w:rsid w:val="53536E98"/>
    <w:rsid w:val="5381347D"/>
    <w:rsid w:val="53886703"/>
    <w:rsid w:val="53A70F92"/>
    <w:rsid w:val="53C102A5"/>
    <w:rsid w:val="5405326E"/>
    <w:rsid w:val="541008E5"/>
    <w:rsid w:val="54403DE2"/>
    <w:rsid w:val="54752E3E"/>
    <w:rsid w:val="54843081"/>
    <w:rsid w:val="549459BA"/>
    <w:rsid w:val="5495703C"/>
    <w:rsid w:val="54C45476"/>
    <w:rsid w:val="54C87412"/>
    <w:rsid w:val="54D264E2"/>
    <w:rsid w:val="54DB2963"/>
    <w:rsid w:val="54FC70BB"/>
    <w:rsid w:val="54FE5AA7"/>
    <w:rsid w:val="55030E5B"/>
    <w:rsid w:val="550C2A76"/>
    <w:rsid w:val="550E1E22"/>
    <w:rsid w:val="55125F07"/>
    <w:rsid w:val="551636DF"/>
    <w:rsid w:val="551B39E5"/>
    <w:rsid w:val="554A7E27"/>
    <w:rsid w:val="555935C2"/>
    <w:rsid w:val="555A514E"/>
    <w:rsid w:val="556B7163"/>
    <w:rsid w:val="55C23E61"/>
    <w:rsid w:val="55E16B3B"/>
    <w:rsid w:val="55F10AC4"/>
    <w:rsid w:val="56350AD7"/>
    <w:rsid w:val="56576C9F"/>
    <w:rsid w:val="567C4300"/>
    <w:rsid w:val="568D0913"/>
    <w:rsid w:val="56D7393C"/>
    <w:rsid w:val="56DB78D0"/>
    <w:rsid w:val="56E61DD1"/>
    <w:rsid w:val="571024BE"/>
    <w:rsid w:val="57106E4E"/>
    <w:rsid w:val="57402630"/>
    <w:rsid w:val="57560D05"/>
    <w:rsid w:val="576D42A0"/>
    <w:rsid w:val="57723718"/>
    <w:rsid w:val="57D1482F"/>
    <w:rsid w:val="57DC6508"/>
    <w:rsid w:val="57F95B34"/>
    <w:rsid w:val="57FB7AFE"/>
    <w:rsid w:val="57FE544A"/>
    <w:rsid w:val="581C1975"/>
    <w:rsid w:val="5822508B"/>
    <w:rsid w:val="586C27AA"/>
    <w:rsid w:val="58721A69"/>
    <w:rsid w:val="588875E4"/>
    <w:rsid w:val="5889335C"/>
    <w:rsid w:val="588C0A52"/>
    <w:rsid w:val="58B030A9"/>
    <w:rsid w:val="58B33F35"/>
    <w:rsid w:val="58C6769E"/>
    <w:rsid w:val="59372DB8"/>
    <w:rsid w:val="59404954"/>
    <w:rsid w:val="596D67DA"/>
    <w:rsid w:val="59710078"/>
    <w:rsid w:val="59831B59"/>
    <w:rsid w:val="5A47527D"/>
    <w:rsid w:val="5A6279C1"/>
    <w:rsid w:val="5A675B6B"/>
    <w:rsid w:val="5A6E11CF"/>
    <w:rsid w:val="5A76346C"/>
    <w:rsid w:val="5AB67AE8"/>
    <w:rsid w:val="5AC55827"/>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6E089F"/>
    <w:rsid w:val="5C853E3A"/>
    <w:rsid w:val="5C992492"/>
    <w:rsid w:val="5CB85FBE"/>
    <w:rsid w:val="5CFA4C4B"/>
    <w:rsid w:val="5D0F4E8E"/>
    <w:rsid w:val="5D1F428F"/>
    <w:rsid w:val="5D261FBF"/>
    <w:rsid w:val="5D3F048D"/>
    <w:rsid w:val="5D4D6706"/>
    <w:rsid w:val="5D77022B"/>
    <w:rsid w:val="5D8979D6"/>
    <w:rsid w:val="5DB02629"/>
    <w:rsid w:val="5DF72B16"/>
    <w:rsid w:val="5E29424F"/>
    <w:rsid w:val="5E2D4789"/>
    <w:rsid w:val="5E4B4D32"/>
    <w:rsid w:val="5E5D6E1D"/>
    <w:rsid w:val="5E631F59"/>
    <w:rsid w:val="5E8B1BDC"/>
    <w:rsid w:val="5EE75F74"/>
    <w:rsid w:val="5EFF7ED4"/>
    <w:rsid w:val="5F37149E"/>
    <w:rsid w:val="5F441A11"/>
    <w:rsid w:val="5F7D71F9"/>
    <w:rsid w:val="5FC73F84"/>
    <w:rsid w:val="5FD916A6"/>
    <w:rsid w:val="600A2FD4"/>
    <w:rsid w:val="60343D42"/>
    <w:rsid w:val="60377D1B"/>
    <w:rsid w:val="6051650D"/>
    <w:rsid w:val="60CE5DB0"/>
    <w:rsid w:val="60D34606"/>
    <w:rsid w:val="61244C90"/>
    <w:rsid w:val="6132067F"/>
    <w:rsid w:val="6151078F"/>
    <w:rsid w:val="61525C94"/>
    <w:rsid w:val="617701F5"/>
    <w:rsid w:val="61BC02FE"/>
    <w:rsid w:val="61ED495B"/>
    <w:rsid w:val="620B6B90"/>
    <w:rsid w:val="62262318"/>
    <w:rsid w:val="622814F0"/>
    <w:rsid w:val="624327CD"/>
    <w:rsid w:val="62830E1C"/>
    <w:rsid w:val="62A72D7A"/>
    <w:rsid w:val="62E551E2"/>
    <w:rsid w:val="62E945BE"/>
    <w:rsid w:val="62F12229"/>
    <w:rsid w:val="630755A9"/>
    <w:rsid w:val="633C4BB3"/>
    <w:rsid w:val="635C3B47"/>
    <w:rsid w:val="63862972"/>
    <w:rsid w:val="63A765F8"/>
    <w:rsid w:val="63B4752E"/>
    <w:rsid w:val="6416019A"/>
    <w:rsid w:val="64202DC6"/>
    <w:rsid w:val="64803865"/>
    <w:rsid w:val="649A1320"/>
    <w:rsid w:val="64A31301"/>
    <w:rsid w:val="64D2701D"/>
    <w:rsid w:val="64F34BE1"/>
    <w:rsid w:val="64FD3107"/>
    <w:rsid w:val="650A1F53"/>
    <w:rsid w:val="65504021"/>
    <w:rsid w:val="655A5E64"/>
    <w:rsid w:val="65D20E3C"/>
    <w:rsid w:val="65D22CB3"/>
    <w:rsid w:val="65FE7137"/>
    <w:rsid w:val="660B1854"/>
    <w:rsid w:val="66342B59"/>
    <w:rsid w:val="66423CCD"/>
    <w:rsid w:val="669255D1"/>
    <w:rsid w:val="66E20C04"/>
    <w:rsid w:val="66FB3677"/>
    <w:rsid w:val="670E7DF4"/>
    <w:rsid w:val="67207282"/>
    <w:rsid w:val="676A25AA"/>
    <w:rsid w:val="678371C8"/>
    <w:rsid w:val="679F4002"/>
    <w:rsid w:val="67AC458E"/>
    <w:rsid w:val="67BC289E"/>
    <w:rsid w:val="67C40DEF"/>
    <w:rsid w:val="67D374BE"/>
    <w:rsid w:val="67DA14DE"/>
    <w:rsid w:val="67EB5499"/>
    <w:rsid w:val="67F059C8"/>
    <w:rsid w:val="68060525"/>
    <w:rsid w:val="681A18DB"/>
    <w:rsid w:val="68386205"/>
    <w:rsid w:val="68925915"/>
    <w:rsid w:val="689773CF"/>
    <w:rsid w:val="689F7087"/>
    <w:rsid w:val="68ED5241"/>
    <w:rsid w:val="694D7A8E"/>
    <w:rsid w:val="69894F6A"/>
    <w:rsid w:val="69B144C0"/>
    <w:rsid w:val="6A303637"/>
    <w:rsid w:val="6A582B8E"/>
    <w:rsid w:val="6AC10733"/>
    <w:rsid w:val="6ACB15B2"/>
    <w:rsid w:val="6AEA7C8A"/>
    <w:rsid w:val="6B0D3978"/>
    <w:rsid w:val="6B19231D"/>
    <w:rsid w:val="6B385388"/>
    <w:rsid w:val="6B5A0B7F"/>
    <w:rsid w:val="6B7548AE"/>
    <w:rsid w:val="6B877B09"/>
    <w:rsid w:val="6B8D1A5D"/>
    <w:rsid w:val="6B953B3D"/>
    <w:rsid w:val="6B9B2D32"/>
    <w:rsid w:val="6BA51E03"/>
    <w:rsid w:val="6BB95134"/>
    <w:rsid w:val="6BC0730B"/>
    <w:rsid w:val="6BC409B4"/>
    <w:rsid w:val="6BEB1F0C"/>
    <w:rsid w:val="6C367856"/>
    <w:rsid w:val="6C67530A"/>
    <w:rsid w:val="6CB70040"/>
    <w:rsid w:val="6CBD2CAF"/>
    <w:rsid w:val="6CC36D8E"/>
    <w:rsid w:val="6CD36AC3"/>
    <w:rsid w:val="6CD429A0"/>
    <w:rsid w:val="6D177A89"/>
    <w:rsid w:val="6D277080"/>
    <w:rsid w:val="6D2A25C0"/>
    <w:rsid w:val="6D3B2A1F"/>
    <w:rsid w:val="6D433682"/>
    <w:rsid w:val="6D503E24"/>
    <w:rsid w:val="6D622AEB"/>
    <w:rsid w:val="6D88378A"/>
    <w:rsid w:val="6D8A305E"/>
    <w:rsid w:val="6D8B6DD7"/>
    <w:rsid w:val="6D9236CD"/>
    <w:rsid w:val="6DC9627D"/>
    <w:rsid w:val="6DD62748"/>
    <w:rsid w:val="6DD93FE6"/>
    <w:rsid w:val="6DF50ACA"/>
    <w:rsid w:val="6E014D3E"/>
    <w:rsid w:val="6E1868BC"/>
    <w:rsid w:val="6E22773B"/>
    <w:rsid w:val="6E2C05BA"/>
    <w:rsid w:val="6E31797E"/>
    <w:rsid w:val="6E396833"/>
    <w:rsid w:val="6E421B8B"/>
    <w:rsid w:val="6E6E0A4C"/>
    <w:rsid w:val="6EB74327"/>
    <w:rsid w:val="6ECB1B80"/>
    <w:rsid w:val="6ED07197"/>
    <w:rsid w:val="6EF939F6"/>
    <w:rsid w:val="6F110A10"/>
    <w:rsid w:val="6F2474E3"/>
    <w:rsid w:val="6F38459B"/>
    <w:rsid w:val="6F457B85"/>
    <w:rsid w:val="6F530F2F"/>
    <w:rsid w:val="6F6A75EB"/>
    <w:rsid w:val="6F710981"/>
    <w:rsid w:val="6F877593"/>
    <w:rsid w:val="6FC00FB9"/>
    <w:rsid w:val="6FCC0900"/>
    <w:rsid w:val="6FDA3886"/>
    <w:rsid w:val="6FDE2037"/>
    <w:rsid w:val="6FE70C3C"/>
    <w:rsid w:val="6FF142A0"/>
    <w:rsid w:val="6FFE7D34"/>
    <w:rsid w:val="7007308C"/>
    <w:rsid w:val="70367AE5"/>
    <w:rsid w:val="704C0A9F"/>
    <w:rsid w:val="706A1742"/>
    <w:rsid w:val="70802DBA"/>
    <w:rsid w:val="708A15C7"/>
    <w:rsid w:val="708D3108"/>
    <w:rsid w:val="70A14762"/>
    <w:rsid w:val="70AE2FF1"/>
    <w:rsid w:val="70B3270F"/>
    <w:rsid w:val="70D475D2"/>
    <w:rsid w:val="714F21F0"/>
    <w:rsid w:val="71502811"/>
    <w:rsid w:val="7156162D"/>
    <w:rsid w:val="715E4F2E"/>
    <w:rsid w:val="71836742"/>
    <w:rsid w:val="719A3A8C"/>
    <w:rsid w:val="71A52B5D"/>
    <w:rsid w:val="71BA0296"/>
    <w:rsid w:val="71BB647E"/>
    <w:rsid w:val="71D40DB8"/>
    <w:rsid w:val="7218332F"/>
    <w:rsid w:val="72192C03"/>
    <w:rsid w:val="723D4B43"/>
    <w:rsid w:val="725327A6"/>
    <w:rsid w:val="725E2D0C"/>
    <w:rsid w:val="72844F5F"/>
    <w:rsid w:val="72B172DF"/>
    <w:rsid w:val="72C24452"/>
    <w:rsid w:val="72FA2A34"/>
    <w:rsid w:val="73010636"/>
    <w:rsid w:val="73133AF6"/>
    <w:rsid w:val="73312BAE"/>
    <w:rsid w:val="733F0D8F"/>
    <w:rsid w:val="733F48EB"/>
    <w:rsid w:val="736B518C"/>
    <w:rsid w:val="737443BB"/>
    <w:rsid w:val="73B84176"/>
    <w:rsid w:val="73C3345B"/>
    <w:rsid w:val="73C3376E"/>
    <w:rsid w:val="73C53042"/>
    <w:rsid w:val="73CF3EC1"/>
    <w:rsid w:val="74016013"/>
    <w:rsid w:val="741144D9"/>
    <w:rsid w:val="74123DAE"/>
    <w:rsid w:val="74341F76"/>
    <w:rsid w:val="743D3201"/>
    <w:rsid w:val="74503606"/>
    <w:rsid w:val="745A5E80"/>
    <w:rsid w:val="745D14CD"/>
    <w:rsid w:val="74732A9E"/>
    <w:rsid w:val="748527D2"/>
    <w:rsid w:val="74936C9D"/>
    <w:rsid w:val="74A25132"/>
    <w:rsid w:val="74D00DC8"/>
    <w:rsid w:val="74D177C5"/>
    <w:rsid w:val="74EE34B3"/>
    <w:rsid w:val="74F3598D"/>
    <w:rsid w:val="75502DDF"/>
    <w:rsid w:val="758030BA"/>
    <w:rsid w:val="758D5DE2"/>
    <w:rsid w:val="759727BC"/>
    <w:rsid w:val="75D457BF"/>
    <w:rsid w:val="75DA1EF7"/>
    <w:rsid w:val="75EA5667"/>
    <w:rsid w:val="760614C5"/>
    <w:rsid w:val="76232458"/>
    <w:rsid w:val="76261D92"/>
    <w:rsid w:val="76286848"/>
    <w:rsid w:val="766F54E7"/>
    <w:rsid w:val="769048FD"/>
    <w:rsid w:val="76960CC6"/>
    <w:rsid w:val="76B13D52"/>
    <w:rsid w:val="76C515AB"/>
    <w:rsid w:val="77103E01"/>
    <w:rsid w:val="772462D2"/>
    <w:rsid w:val="77434B0A"/>
    <w:rsid w:val="776E7F97"/>
    <w:rsid w:val="778E13D9"/>
    <w:rsid w:val="77A45665"/>
    <w:rsid w:val="77A92C7B"/>
    <w:rsid w:val="77AB69F3"/>
    <w:rsid w:val="77D54B30"/>
    <w:rsid w:val="77E43CB3"/>
    <w:rsid w:val="77F4039A"/>
    <w:rsid w:val="77F50D46"/>
    <w:rsid w:val="77F57C6E"/>
    <w:rsid w:val="784F55D0"/>
    <w:rsid w:val="78774B27"/>
    <w:rsid w:val="788829E3"/>
    <w:rsid w:val="78AF606F"/>
    <w:rsid w:val="78BD078C"/>
    <w:rsid w:val="78E55F35"/>
    <w:rsid w:val="794744F9"/>
    <w:rsid w:val="794E3ADA"/>
    <w:rsid w:val="79952518"/>
    <w:rsid w:val="79CD0628"/>
    <w:rsid w:val="79D216C3"/>
    <w:rsid w:val="79DA711C"/>
    <w:rsid w:val="79E93803"/>
    <w:rsid w:val="7A1268B5"/>
    <w:rsid w:val="7A17211E"/>
    <w:rsid w:val="7A342CD0"/>
    <w:rsid w:val="7A4078C7"/>
    <w:rsid w:val="7A4F7B0A"/>
    <w:rsid w:val="7A505630"/>
    <w:rsid w:val="7A7C01D3"/>
    <w:rsid w:val="7A84390D"/>
    <w:rsid w:val="7ACF47A6"/>
    <w:rsid w:val="7B022DCE"/>
    <w:rsid w:val="7B0A0786"/>
    <w:rsid w:val="7B0C1557"/>
    <w:rsid w:val="7B6C6499"/>
    <w:rsid w:val="7B773325"/>
    <w:rsid w:val="7BC462D5"/>
    <w:rsid w:val="7C1728A9"/>
    <w:rsid w:val="7C2E19A1"/>
    <w:rsid w:val="7C484810"/>
    <w:rsid w:val="7C5036C5"/>
    <w:rsid w:val="7CA86B3C"/>
    <w:rsid w:val="7CB1685A"/>
    <w:rsid w:val="7CC115E3"/>
    <w:rsid w:val="7CCF6CE0"/>
    <w:rsid w:val="7CE87DA1"/>
    <w:rsid w:val="7CF36E72"/>
    <w:rsid w:val="7D060228"/>
    <w:rsid w:val="7D3905FD"/>
    <w:rsid w:val="7D766CDB"/>
    <w:rsid w:val="7D8A0E59"/>
    <w:rsid w:val="7DA63EE4"/>
    <w:rsid w:val="7DC41B68"/>
    <w:rsid w:val="7DDB3462"/>
    <w:rsid w:val="7DFC3B04"/>
    <w:rsid w:val="7E3C2153"/>
    <w:rsid w:val="7E473C89"/>
    <w:rsid w:val="7E4B0C0C"/>
    <w:rsid w:val="7E52743B"/>
    <w:rsid w:val="7E77762F"/>
    <w:rsid w:val="7E9868CD"/>
    <w:rsid w:val="7EBF4B32"/>
    <w:rsid w:val="7EC565EC"/>
    <w:rsid w:val="7EE828EB"/>
    <w:rsid w:val="7F390D88"/>
    <w:rsid w:val="7FDA5ADA"/>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customStyle="1" w:styleId="2">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styleId="6">
    <w:name w:val="Body Text"/>
    <w:basedOn w:val="1"/>
    <w:autoRedefine/>
    <w:qFormat/>
    <w:uiPriority w:val="0"/>
    <w:pPr>
      <w:spacing w:line="520" w:lineRule="exact"/>
    </w:pPr>
    <w:rPr>
      <w:rFonts w:ascii="Calibri" w:hAnsi="Calibri" w:eastAsia="宋体" w:cs="Times New Roman"/>
      <w:kern w:val="2"/>
      <w:szCs w:val="24"/>
    </w:rPr>
  </w:style>
  <w:style w:type="paragraph" w:styleId="7">
    <w:name w:val="toc 3"/>
    <w:basedOn w:val="1"/>
    <w:next w:val="1"/>
    <w:autoRedefine/>
    <w:unhideWhenUsed/>
    <w:qFormat/>
    <w:uiPriority w:val="39"/>
    <w:pPr>
      <w:ind w:left="420"/>
      <w:jc w:val="left"/>
    </w:pPr>
    <w:rPr>
      <w:iCs/>
      <w:sz w:val="20"/>
      <w:szCs w:val="20"/>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39"/>
    <w:pPr>
      <w:widowControl/>
      <w:spacing w:line="276" w:lineRule="auto"/>
      <w:ind w:left="220"/>
      <w:jc w:val="left"/>
    </w:pPr>
    <w:rPr>
      <w:sz w:val="22"/>
    </w:rPr>
  </w:style>
  <w:style w:type="paragraph" w:styleId="12">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5"/>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5630</Words>
  <Characters>6656</Characters>
  <Lines>0</Lines>
  <Paragraphs>0</Paragraphs>
  <TotalTime>4</TotalTime>
  <ScaleCrop>false</ScaleCrop>
  <LinksUpToDate>false</LinksUpToDate>
  <CharactersWithSpaces>7111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2024-11-18T06:56:41Z</cp:lastPrinted>
  <dcterms:modified xsi:type="dcterms:W3CDTF">2024-11-18T06:59:46Z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644BBFF616A744E2B4A3B339CE019973_13</vt:lpwstr>
  </property>
</Properties>
</file>