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55916">
      <w:pPr>
        <w:pStyle w:val="17"/>
        <w:ind w:firstLine="1920" w:firstLineChars="800"/>
        <w:jc w:val="both"/>
        <w:rPr>
          <w:rFonts w:hint="eastAsia" w:asciiTheme="majorEastAsia" w:hAnsiTheme="majorEastAsia" w:eastAsiaTheme="majorEastAsia" w:cstheme="majorEastAsia"/>
          <w:bCs/>
          <w:color w:val="000000"/>
        </w:rPr>
      </w:pPr>
      <w:r>
        <w:rPr>
          <w:rFonts w:hint="eastAsia" w:asciiTheme="majorEastAsia" w:hAnsiTheme="majorEastAsia" w:eastAsiaTheme="majorEastAsia" w:cstheme="majorEastAsia"/>
          <w:bCs/>
        </w:rPr>
        <w:t xml:space="preserve">      </w:t>
      </w:r>
      <w:r>
        <w:rPr>
          <w:rFonts w:hint="eastAsia" w:asciiTheme="majorEastAsia" w:hAnsiTheme="majorEastAsia" w:eastAsiaTheme="majorEastAsia" w:cstheme="majorEastAsia"/>
          <w:bCs/>
          <w:lang w:val="en-US" w:eastAsia="zh-CN"/>
        </w:rPr>
        <w:t xml:space="preserve">        </w:t>
      </w:r>
    </w:p>
    <w:p w14:paraId="748BB029">
      <w:pPr>
        <w:pStyle w:val="17"/>
        <w:jc w:val="both"/>
        <w:rPr>
          <w:rFonts w:hint="eastAsia" w:asciiTheme="majorEastAsia" w:hAnsiTheme="majorEastAsia" w:eastAsiaTheme="majorEastAsia" w:cstheme="majorEastAsia"/>
          <w:bCs/>
        </w:rPr>
      </w:pPr>
      <w:r>
        <w:rPr>
          <w:rFonts w:hint="eastAsia" w:asciiTheme="majorEastAsia" w:hAnsiTheme="majorEastAsia" w:eastAsiaTheme="majorEastAsia" w:cstheme="majorEastAsia"/>
        </w:rPr>
        <w:drawing>
          <wp:anchor distT="0" distB="0" distL="114300" distR="114300" simplePos="0" relativeHeight="251659264" behindDoc="0" locked="0" layoutInCell="1" allowOverlap="1">
            <wp:simplePos x="0" y="0"/>
            <wp:positionH relativeFrom="column">
              <wp:posOffset>1786890</wp:posOffset>
            </wp:positionH>
            <wp:positionV relativeFrom="paragraph">
              <wp:posOffset>166370</wp:posOffset>
            </wp:positionV>
            <wp:extent cx="1696720" cy="1687195"/>
            <wp:effectExtent l="0" t="0" r="17780" b="8255"/>
            <wp:wrapSquare wrapText="bothSides"/>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3"/>
                    <a:stretch>
                      <a:fillRect/>
                    </a:stretch>
                  </pic:blipFill>
                  <pic:spPr>
                    <a:xfrm>
                      <a:off x="0" y="0"/>
                      <a:ext cx="1696720" cy="1687195"/>
                    </a:xfrm>
                    <a:prstGeom prst="rect">
                      <a:avLst/>
                    </a:prstGeom>
                    <a:noFill/>
                    <a:ln>
                      <a:noFill/>
                    </a:ln>
                  </pic:spPr>
                </pic:pic>
              </a:graphicData>
            </a:graphic>
          </wp:anchor>
        </w:drawing>
      </w:r>
    </w:p>
    <w:p w14:paraId="2F72DF5B">
      <w:pPr>
        <w:pStyle w:val="17"/>
        <w:jc w:val="right"/>
        <w:rPr>
          <w:rFonts w:hint="eastAsia" w:asciiTheme="majorEastAsia" w:hAnsiTheme="majorEastAsia" w:eastAsiaTheme="majorEastAsia" w:cstheme="majorEastAsia"/>
          <w:bCs/>
        </w:rPr>
      </w:pPr>
    </w:p>
    <w:p w14:paraId="5A5547A3">
      <w:pPr>
        <w:pStyle w:val="17"/>
        <w:ind w:right="960"/>
        <w:jc w:val="right"/>
        <w:rPr>
          <w:rFonts w:hint="eastAsia" w:asciiTheme="majorEastAsia" w:hAnsiTheme="majorEastAsia" w:eastAsiaTheme="majorEastAsia" w:cstheme="majorEastAsia"/>
          <w:bCs/>
          <w:lang w:val="en-US" w:eastAsia="zh-CN"/>
        </w:rPr>
      </w:pPr>
      <w:r>
        <w:rPr>
          <w:rFonts w:hint="eastAsia" w:asciiTheme="majorEastAsia" w:hAnsiTheme="majorEastAsia" w:eastAsiaTheme="majorEastAsia" w:cstheme="majorEastAsia"/>
          <w:bCs/>
          <w:lang w:val="en-US" w:eastAsia="zh-CN"/>
        </w:rPr>
        <w:t xml:space="preserve">                               </w:t>
      </w:r>
    </w:p>
    <w:p w14:paraId="19C1D717">
      <w:pPr>
        <w:pStyle w:val="17"/>
        <w:jc w:val="center"/>
        <w:rPr>
          <w:rFonts w:hint="eastAsia" w:asciiTheme="majorEastAsia" w:hAnsiTheme="majorEastAsia" w:eastAsiaTheme="majorEastAsia" w:cstheme="majorEastAsia"/>
          <w:bCs/>
          <w:color w:val="auto"/>
          <w:lang w:eastAsia="zh-CN"/>
        </w:rPr>
      </w:pPr>
    </w:p>
    <w:p w14:paraId="155B503B">
      <w:pPr>
        <w:pStyle w:val="17"/>
        <w:jc w:val="center"/>
        <w:outlineLvl w:val="0"/>
        <w:rPr>
          <w:rFonts w:hint="eastAsia" w:asciiTheme="majorEastAsia" w:hAnsiTheme="majorEastAsia" w:eastAsiaTheme="majorEastAsia" w:cstheme="majorEastAsia"/>
          <w:b/>
          <w:bCs w:val="0"/>
          <w:color w:val="auto"/>
          <w:w w:val="80"/>
          <w:sz w:val="72"/>
          <w:szCs w:val="72"/>
          <w:u w:val="none"/>
          <w:lang w:val="en-US" w:eastAsia="zh-CN"/>
        </w:rPr>
      </w:pPr>
      <w:bookmarkStart w:id="0" w:name="_Toc32106"/>
      <w:bookmarkStart w:id="1" w:name="_Toc4197"/>
      <w:bookmarkStart w:id="2" w:name="_Toc30860"/>
    </w:p>
    <w:p w14:paraId="3AE6D230">
      <w:pPr>
        <w:pStyle w:val="17"/>
        <w:jc w:val="center"/>
        <w:outlineLvl w:val="0"/>
        <w:rPr>
          <w:rFonts w:hint="eastAsia" w:asciiTheme="majorEastAsia" w:hAnsiTheme="majorEastAsia" w:eastAsiaTheme="majorEastAsia" w:cstheme="majorEastAsia"/>
          <w:b/>
          <w:bCs w:val="0"/>
          <w:color w:val="auto"/>
          <w:w w:val="80"/>
          <w:sz w:val="72"/>
          <w:szCs w:val="72"/>
          <w:u w:val="none"/>
          <w:lang w:val="en-US" w:eastAsia="zh-CN"/>
        </w:rPr>
      </w:pPr>
    </w:p>
    <w:bookmarkEnd w:id="0"/>
    <w:bookmarkEnd w:id="1"/>
    <w:bookmarkEnd w:id="2"/>
    <w:p w14:paraId="42FBA1A4">
      <w:pPr>
        <w:pStyle w:val="17"/>
        <w:ind w:right="960"/>
        <w:jc w:val="center"/>
        <w:rPr>
          <w:rFonts w:hint="eastAsia" w:asciiTheme="majorEastAsia" w:hAnsiTheme="majorEastAsia" w:eastAsiaTheme="majorEastAsia" w:cstheme="majorEastAsia"/>
          <w:b/>
          <w:bCs/>
          <w:color w:val="auto"/>
          <w:lang w:val="en-US" w:eastAsia="zh-CN"/>
        </w:rPr>
      </w:pPr>
    </w:p>
    <w:p w14:paraId="1A6B81F3">
      <w:pPr>
        <w:pStyle w:val="17"/>
        <w:jc w:val="center"/>
        <w:rPr>
          <w:rFonts w:hint="eastAsia" w:asciiTheme="majorEastAsia" w:hAnsiTheme="majorEastAsia" w:eastAsiaTheme="majorEastAsia" w:cstheme="majorEastAsia"/>
          <w:b/>
          <w:bCs/>
          <w:sz w:val="72"/>
          <w:szCs w:val="72"/>
          <w:lang w:val="en-US" w:eastAsia="zh-CN"/>
        </w:rPr>
      </w:pPr>
      <w:r>
        <w:rPr>
          <w:rFonts w:hint="eastAsia" w:asciiTheme="majorEastAsia" w:hAnsiTheme="majorEastAsia" w:eastAsiaTheme="majorEastAsia" w:cstheme="majorEastAsia"/>
          <w:b/>
          <w:bCs/>
          <w:sz w:val="72"/>
          <w:szCs w:val="72"/>
          <w:lang w:val="en-US" w:eastAsia="zh-CN"/>
        </w:rPr>
        <w:t>分 析 报 告</w:t>
      </w:r>
    </w:p>
    <w:p w14:paraId="046A7099">
      <w:pPr>
        <w:pStyle w:val="17"/>
        <w:jc w:val="center"/>
        <w:rPr>
          <w:rFonts w:hint="eastAsia" w:asciiTheme="majorEastAsia" w:hAnsiTheme="majorEastAsia" w:eastAsiaTheme="majorEastAsia" w:cstheme="majorEastAsia"/>
          <w:b/>
          <w:bCs w:val="0"/>
          <w:color w:val="auto"/>
          <w:spacing w:val="227"/>
          <w:w w:val="80"/>
          <w:sz w:val="96"/>
          <w:szCs w:val="96"/>
          <w:lang w:val="en-US" w:eastAsia="zh-CN"/>
        </w:rPr>
      </w:pPr>
    </w:p>
    <w:p w14:paraId="0985764F">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p>
    <w:p w14:paraId="4D87627E">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w:t>
      </w:r>
    </w:p>
    <w:p w14:paraId="1EA4C18D">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检测项目：</w:t>
      </w:r>
      <w:r>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t>2024年第三季度挥发性有机物检测</w:t>
      </w: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w:t>
      </w:r>
    </w:p>
    <w:p w14:paraId="3A15140F">
      <w:pPr>
        <w:jc w:val="left"/>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委托单位：</w:t>
      </w:r>
      <w:r>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t>山东万达化工有限公司</w:t>
      </w:r>
    </w:p>
    <w:p w14:paraId="31F2BBB1">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w:t>
      </w:r>
      <w:bookmarkStart w:id="3" w:name="_Toc10998"/>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检测地点：</w:t>
      </w:r>
      <w:bookmarkEnd w:id="3"/>
      <w:r>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t>山东省东营市永莘路68号</w:t>
      </w:r>
    </w:p>
    <w:p w14:paraId="43409D66">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检测日期：</w:t>
      </w:r>
      <w:r>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t>2024年09月20日-2024年09月21日</w:t>
      </w:r>
    </w:p>
    <w:p w14:paraId="6AC760D6">
      <w:pPr>
        <w:jc w:val="left"/>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出具报告日期：</w:t>
      </w:r>
      <w:r>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t>2024年09月23日</w:t>
      </w:r>
    </w:p>
    <w:p w14:paraId="132A1754">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p>
    <w:p w14:paraId="164106AF">
      <w:pPr>
        <w:pStyle w:val="6"/>
        <w:rPr>
          <w:rFonts w:hint="eastAsia"/>
          <w:lang w:val="en-US" w:eastAsia="zh-CN"/>
        </w:rPr>
      </w:pPr>
    </w:p>
    <w:p w14:paraId="1E64FA07">
      <w:pPr>
        <w:jc w:val="cente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bookmarkStart w:id="4" w:name="_Toc12368"/>
      <w:bookmarkStart w:id="5" w:name="_Toc13238"/>
      <w:bookmarkStart w:id="6" w:name="_Toc31107"/>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山东泓启环保技术服务有限公司</w:t>
      </w:r>
      <w:bookmarkEnd w:id="4"/>
      <w:bookmarkEnd w:id="5"/>
      <w:bookmarkEnd w:id="6"/>
    </w:p>
    <w:p w14:paraId="160ED3AD">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p>
    <w:p w14:paraId="369D23F6">
      <w:pPr>
        <w:jc w:val="both"/>
        <w:rPr>
          <w:rFonts w:hint="eastAsia" w:asciiTheme="majorEastAsia" w:hAnsiTheme="majorEastAsia" w:eastAsiaTheme="majorEastAsia" w:cstheme="majorEastAsia"/>
          <w:b/>
          <w:bCs/>
          <w:sz w:val="21"/>
          <w:szCs w:val="21"/>
        </w:rPr>
      </w:pPr>
    </w:p>
    <w:p w14:paraId="138F79AE">
      <w:pPr>
        <w:spacing w:line="360" w:lineRule="auto"/>
        <w:jc w:val="both"/>
        <w:rPr>
          <w:rFonts w:hint="eastAsia" w:asciiTheme="majorEastAsia" w:hAnsiTheme="majorEastAsia" w:eastAsiaTheme="majorEastAsia" w:cstheme="majorEastAsia"/>
          <w:b/>
          <w:bCs/>
          <w:sz w:val="21"/>
          <w:szCs w:val="21"/>
        </w:rPr>
        <w:sectPr>
          <w:headerReference r:id="rId4" w:type="first"/>
          <w:footerReference r:id="rId6" w:type="first"/>
          <w:headerReference r:id="rId3" w:type="default"/>
          <w:footerReference r:id="rId5"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720" w:num="1"/>
          <w:titlePg/>
          <w:rtlGutter w:val="0"/>
          <w:docGrid w:type="lines" w:linePitch="332" w:charSpace="0"/>
        </w:sectPr>
      </w:pPr>
    </w:p>
    <w:p w14:paraId="258CFAF7">
      <w:pPr>
        <w:pStyle w:val="17"/>
        <w:spacing w:line="360" w:lineRule="auto"/>
        <w:ind w:firstLine="4080" w:firstLineChars="1700"/>
        <w:jc w:val="left"/>
        <w:rPr>
          <w:rFonts w:hint="eastAsia" w:asciiTheme="majorEastAsia" w:hAnsiTheme="majorEastAsia" w:eastAsiaTheme="majorEastAsia" w:cstheme="majorEastAsia"/>
          <w:bCs/>
          <w:caps/>
          <w:color w:val="000000"/>
          <w:sz w:val="21"/>
          <w:szCs w:val="21"/>
          <w:lang w:val="en-US" w:eastAsia="zh-CN" w:bidi="ar-SA"/>
        </w:rPr>
      </w:pPr>
      <w:r>
        <w:rPr>
          <w:rFonts w:hint="eastAsia" w:asciiTheme="majorEastAsia" w:hAnsiTheme="majorEastAsia" w:eastAsiaTheme="majorEastAsia" w:cstheme="majorEastAsia"/>
          <w:b w:val="0"/>
          <w:bCs w:val="0"/>
          <w:sz w:val="24"/>
          <w:szCs w:val="24"/>
        </w:rPr>
        <w:t>目录</w:t>
      </w:r>
      <w:r>
        <w:rPr>
          <w:rFonts w:hint="eastAsia" w:asciiTheme="majorEastAsia" w:hAnsiTheme="majorEastAsia" w:eastAsiaTheme="majorEastAsia" w:cstheme="majorEastAsia"/>
          <w:sz w:val="21"/>
          <w:szCs w:val="21"/>
        </w:rPr>
        <w:fldChar w:fldCharType="begin"/>
      </w:r>
      <w:r>
        <w:rPr>
          <w:rFonts w:hint="eastAsia" w:asciiTheme="majorEastAsia" w:hAnsiTheme="majorEastAsia" w:eastAsiaTheme="majorEastAsia" w:cstheme="majorEastAsia"/>
          <w:sz w:val="21"/>
          <w:szCs w:val="21"/>
        </w:rPr>
        <w:instrText xml:space="preserve"> TOC \o "1-3" \h \z \u </w:instrText>
      </w:r>
      <w:r>
        <w:rPr>
          <w:rFonts w:hint="eastAsia" w:asciiTheme="majorEastAsia" w:hAnsiTheme="majorEastAsia" w:eastAsiaTheme="majorEastAsia" w:cstheme="majorEastAsia"/>
          <w:sz w:val="21"/>
          <w:szCs w:val="21"/>
        </w:rPr>
        <w:fldChar w:fldCharType="separate"/>
      </w:r>
    </w:p>
    <w:p w14:paraId="7D237AF1">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_Toc757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说明</w:t>
      </w:r>
      <w:r>
        <w:tab/>
      </w:r>
      <w:r>
        <w:fldChar w:fldCharType="begin"/>
      </w:r>
      <w:r>
        <w:instrText xml:space="preserve"> PAGEREF _Toc757 \h </w:instrText>
      </w:r>
      <w:r>
        <w:fldChar w:fldCharType="separate"/>
      </w:r>
      <w:r>
        <w:t>1</w:t>
      </w:r>
      <w:r>
        <w:fldChar w:fldCharType="end"/>
      </w:r>
      <w:r>
        <w:rPr>
          <w:rFonts w:hint="eastAsia" w:asciiTheme="majorEastAsia" w:hAnsiTheme="majorEastAsia" w:eastAsiaTheme="majorEastAsia" w:cstheme="majorEastAsia"/>
          <w:bCs/>
          <w:caps/>
          <w:szCs w:val="21"/>
        </w:rPr>
        <w:fldChar w:fldCharType="end"/>
      </w:r>
    </w:p>
    <w:p w14:paraId="000F51FD">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_Toc21670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36"/>
          <w:lang w:val="en-US" w:eastAsia="zh-CN"/>
        </w:rPr>
        <w:t>资质证书</w:t>
      </w:r>
      <w:r>
        <w:tab/>
      </w:r>
      <w:r>
        <w:fldChar w:fldCharType="begin"/>
      </w:r>
      <w:r>
        <w:instrText xml:space="preserve"> PAGEREF _Toc21670 \h </w:instrText>
      </w:r>
      <w:r>
        <w:fldChar w:fldCharType="separate"/>
      </w:r>
      <w:r>
        <w:t>2</w:t>
      </w:r>
      <w:r>
        <w:fldChar w:fldCharType="end"/>
      </w:r>
      <w:r>
        <w:rPr>
          <w:rFonts w:hint="eastAsia" w:asciiTheme="majorEastAsia" w:hAnsiTheme="majorEastAsia" w:eastAsiaTheme="majorEastAsia" w:cstheme="majorEastAsia"/>
          <w:bCs/>
          <w:caps/>
          <w:szCs w:val="21"/>
        </w:rPr>
        <w:fldChar w:fldCharType="end"/>
      </w:r>
    </w:p>
    <w:p w14:paraId="5363DA11">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_Toc16243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本报告规范性引用文件</w:t>
      </w:r>
      <w:r>
        <w:tab/>
      </w:r>
      <w:r>
        <w:fldChar w:fldCharType="begin"/>
      </w:r>
      <w:r>
        <w:instrText xml:space="preserve"> PAGEREF _Toc16243 \h </w:instrText>
      </w:r>
      <w:r>
        <w:fldChar w:fldCharType="separate"/>
      </w:r>
      <w:r>
        <w:t>3</w:t>
      </w:r>
      <w:r>
        <w:fldChar w:fldCharType="end"/>
      </w:r>
      <w:r>
        <w:rPr>
          <w:rFonts w:hint="eastAsia" w:asciiTheme="majorEastAsia" w:hAnsiTheme="majorEastAsia" w:eastAsiaTheme="majorEastAsia" w:cstheme="majorEastAsia"/>
          <w:bCs/>
          <w:caps/>
          <w:szCs w:val="21"/>
        </w:rPr>
        <w:fldChar w:fldCharType="end"/>
      </w:r>
    </w:p>
    <w:p w14:paraId="3BEA60A9">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_Toc11739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1. 挥发性有机物（VOC</w:t>
      </w:r>
      <w:r>
        <w:rPr>
          <w:rFonts w:hint="eastAsia" w:asciiTheme="majorEastAsia" w:hAnsiTheme="majorEastAsia" w:eastAsiaTheme="majorEastAsia" w:cstheme="majorEastAsia"/>
          <w:bCs/>
          <w:szCs w:val="21"/>
          <w:lang w:val="en-US" w:eastAsia="zh-CN"/>
        </w:rPr>
        <w:t>s</w:t>
      </w:r>
      <w:r>
        <w:rPr>
          <w:rFonts w:hint="eastAsia" w:asciiTheme="majorEastAsia" w:hAnsiTheme="majorEastAsia" w:eastAsiaTheme="majorEastAsia" w:cstheme="majorEastAsia"/>
          <w:lang w:val="en-US" w:eastAsia="zh-CN"/>
        </w:rPr>
        <w:t>）检测结果报告单</w:t>
      </w:r>
      <w:r>
        <w:tab/>
      </w:r>
      <w:r>
        <w:fldChar w:fldCharType="begin"/>
      </w:r>
      <w:r>
        <w:instrText xml:space="preserve"> PAGEREF _Toc11739 \h </w:instrText>
      </w:r>
      <w:r>
        <w:fldChar w:fldCharType="separate"/>
      </w:r>
      <w:r>
        <w:t>4</w:t>
      </w:r>
      <w:r>
        <w:fldChar w:fldCharType="end"/>
      </w:r>
      <w:r>
        <w:rPr>
          <w:rFonts w:hint="eastAsia" w:asciiTheme="majorEastAsia" w:hAnsiTheme="majorEastAsia" w:eastAsiaTheme="majorEastAsia" w:cstheme="majorEastAsia"/>
          <w:bCs/>
          <w:caps/>
          <w:szCs w:val="21"/>
        </w:rPr>
        <w:fldChar w:fldCharType="end"/>
      </w:r>
    </w:p>
    <w:p w14:paraId="047238DC">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_Toc10988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8"/>
          <w:lang w:val="en-US" w:eastAsia="zh-CN"/>
        </w:rPr>
        <w:t>1.1</w:t>
      </w:r>
      <w:r>
        <w:rPr>
          <w:rFonts w:hint="eastAsia" w:asciiTheme="majorEastAsia" w:hAnsiTheme="majorEastAsia" w:eastAsiaTheme="majorEastAsia" w:cstheme="majorEastAsia"/>
          <w:szCs w:val="28"/>
        </w:rPr>
        <w:t>企业名称、性质、地址</w:t>
      </w:r>
      <w:r>
        <w:rPr>
          <w:rFonts w:hint="eastAsia" w:asciiTheme="majorEastAsia" w:hAnsiTheme="majorEastAsia" w:eastAsiaTheme="majorEastAsia" w:cstheme="majorEastAsia"/>
          <w:szCs w:val="28"/>
          <w:lang w:eastAsia="zh-CN"/>
        </w:rPr>
        <w:t>、</w:t>
      </w:r>
      <w:r>
        <w:rPr>
          <w:rFonts w:hint="eastAsia" w:asciiTheme="majorEastAsia" w:hAnsiTheme="majorEastAsia" w:eastAsiaTheme="majorEastAsia" w:cstheme="majorEastAsia"/>
          <w:szCs w:val="28"/>
          <w:lang w:val="en-US" w:eastAsia="zh-CN"/>
        </w:rPr>
        <w:t>组织架构</w:t>
      </w:r>
      <w:r>
        <w:tab/>
      </w:r>
      <w:r>
        <w:fldChar w:fldCharType="begin"/>
      </w:r>
      <w:r>
        <w:instrText xml:space="preserve"> PAGEREF _Toc10988 \h </w:instrText>
      </w:r>
      <w:r>
        <w:fldChar w:fldCharType="separate"/>
      </w:r>
      <w:r>
        <w:t>5</w:t>
      </w:r>
      <w:r>
        <w:fldChar w:fldCharType="end"/>
      </w:r>
      <w:r>
        <w:rPr>
          <w:rFonts w:hint="eastAsia" w:asciiTheme="majorEastAsia" w:hAnsiTheme="majorEastAsia" w:eastAsiaTheme="majorEastAsia" w:cstheme="majorEastAsia"/>
          <w:bCs/>
          <w:caps/>
          <w:szCs w:val="21"/>
        </w:rPr>
        <w:fldChar w:fldCharType="end"/>
      </w:r>
    </w:p>
    <w:p w14:paraId="00B505B2">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_Toc7378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8"/>
          <w:lang w:val="en-US" w:eastAsia="zh-CN"/>
        </w:rPr>
        <w:t>1.2企业简介</w:t>
      </w:r>
      <w:r>
        <w:tab/>
      </w:r>
      <w:r>
        <w:fldChar w:fldCharType="begin"/>
      </w:r>
      <w:r>
        <w:instrText xml:space="preserve"> PAGEREF _Toc7378 \h </w:instrText>
      </w:r>
      <w:r>
        <w:fldChar w:fldCharType="separate"/>
      </w:r>
      <w:r>
        <w:t>5</w:t>
      </w:r>
      <w:r>
        <w:fldChar w:fldCharType="end"/>
      </w:r>
      <w:r>
        <w:rPr>
          <w:rFonts w:hint="eastAsia" w:asciiTheme="majorEastAsia" w:hAnsiTheme="majorEastAsia" w:eastAsiaTheme="majorEastAsia" w:cstheme="majorEastAsia"/>
          <w:bCs/>
          <w:caps/>
          <w:szCs w:val="21"/>
        </w:rPr>
        <w:fldChar w:fldCharType="end"/>
      </w:r>
    </w:p>
    <w:p w14:paraId="72C5D918">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_Toc1541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8"/>
          <w:lang w:val="en-US" w:eastAsia="zh-CN"/>
        </w:rPr>
        <w:t>1.3开展 LDAR 基本情况</w:t>
      </w:r>
      <w:r>
        <w:tab/>
      </w:r>
      <w:r>
        <w:fldChar w:fldCharType="begin"/>
      </w:r>
      <w:r>
        <w:instrText xml:space="preserve"> PAGEREF _Toc1541 \h </w:instrText>
      </w:r>
      <w:r>
        <w:fldChar w:fldCharType="separate"/>
      </w:r>
      <w:r>
        <w:t>5</w:t>
      </w:r>
      <w:r>
        <w:fldChar w:fldCharType="end"/>
      </w:r>
      <w:r>
        <w:rPr>
          <w:rFonts w:hint="eastAsia" w:asciiTheme="majorEastAsia" w:hAnsiTheme="majorEastAsia" w:eastAsiaTheme="majorEastAsia" w:cstheme="majorEastAsia"/>
          <w:bCs/>
          <w:caps/>
          <w:szCs w:val="21"/>
        </w:rPr>
        <w:fldChar w:fldCharType="end"/>
      </w:r>
    </w:p>
    <w:p w14:paraId="2AF20C56">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_Toc24361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2.项目建立</w:t>
      </w:r>
      <w:r>
        <w:tab/>
      </w:r>
      <w:r>
        <w:fldChar w:fldCharType="begin"/>
      </w:r>
      <w:r>
        <w:instrText xml:space="preserve"> PAGEREF _Toc24361 \h </w:instrText>
      </w:r>
      <w:r>
        <w:fldChar w:fldCharType="separate"/>
      </w:r>
      <w:r>
        <w:t>5</w:t>
      </w:r>
      <w:r>
        <w:fldChar w:fldCharType="end"/>
      </w:r>
      <w:r>
        <w:rPr>
          <w:rFonts w:hint="eastAsia" w:asciiTheme="majorEastAsia" w:hAnsiTheme="majorEastAsia" w:eastAsiaTheme="majorEastAsia" w:cstheme="majorEastAsia"/>
          <w:bCs/>
          <w:caps/>
          <w:szCs w:val="21"/>
        </w:rPr>
        <w:fldChar w:fldCharType="end"/>
      </w:r>
    </w:p>
    <w:p w14:paraId="59015557">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_Toc24881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2.1项目组筹建</w:t>
      </w:r>
      <w:r>
        <w:tab/>
      </w:r>
      <w:r>
        <w:fldChar w:fldCharType="begin"/>
      </w:r>
      <w:r>
        <w:instrText xml:space="preserve"> PAGEREF _Toc24881 \h </w:instrText>
      </w:r>
      <w:r>
        <w:fldChar w:fldCharType="separate"/>
      </w:r>
      <w:r>
        <w:t>5</w:t>
      </w:r>
      <w:r>
        <w:fldChar w:fldCharType="end"/>
      </w:r>
      <w:r>
        <w:rPr>
          <w:rFonts w:hint="eastAsia" w:asciiTheme="majorEastAsia" w:hAnsiTheme="majorEastAsia" w:eastAsiaTheme="majorEastAsia" w:cstheme="majorEastAsia"/>
          <w:bCs/>
          <w:caps/>
          <w:szCs w:val="21"/>
        </w:rPr>
        <w:fldChar w:fldCharType="end"/>
      </w:r>
    </w:p>
    <w:p w14:paraId="10F4D3ED">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_Toc4017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2.2密封点建档</w:t>
      </w:r>
      <w:r>
        <w:tab/>
      </w:r>
      <w:r>
        <w:fldChar w:fldCharType="begin"/>
      </w:r>
      <w:r>
        <w:instrText xml:space="preserve"> PAGEREF _Toc4017 \h </w:instrText>
      </w:r>
      <w:r>
        <w:fldChar w:fldCharType="separate"/>
      </w:r>
      <w:r>
        <w:t>6</w:t>
      </w:r>
      <w:r>
        <w:fldChar w:fldCharType="end"/>
      </w:r>
      <w:r>
        <w:rPr>
          <w:rFonts w:hint="eastAsia" w:asciiTheme="majorEastAsia" w:hAnsiTheme="majorEastAsia" w:eastAsiaTheme="majorEastAsia" w:cstheme="majorEastAsia"/>
          <w:bCs/>
          <w:caps/>
          <w:szCs w:val="21"/>
        </w:rPr>
        <w:fldChar w:fldCharType="end"/>
      </w:r>
    </w:p>
    <w:p w14:paraId="2633D4C1">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_Toc3992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bCs w:val="0"/>
          <w:szCs w:val="21"/>
        </w:rPr>
        <w:t>检测密封点识别及编号流程</w:t>
      </w:r>
      <w:r>
        <w:tab/>
      </w:r>
      <w:r>
        <w:fldChar w:fldCharType="begin"/>
      </w:r>
      <w:r>
        <w:instrText xml:space="preserve"> PAGEREF _Toc3992 \h </w:instrText>
      </w:r>
      <w:r>
        <w:fldChar w:fldCharType="separate"/>
      </w:r>
      <w:r>
        <w:t>7</w:t>
      </w:r>
      <w:r>
        <w:fldChar w:fldCharType="end"/>
      </w:r>
      <w:r>
        <w:rPr>
          <w:rFonts w:hint="eastAsia" w:asciiTheme="majorEastAsia" w:hAnsiTheme="majorEastAsia" w:eastAsiaTheme="majorEastAsia" w:cstheme="majorEastAsia"/>
          <w:bCs/>
          <w:caps/>
          <w:szCs w:val="21"/>
        </w:rPr>
        <w:fldChar w:fldCharType="end"/>
      </w:r>
    </w:p>
    <w:p w14:paraId="3EA88CFB">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_Toc12830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2.3装置适合性分析</w:t>
      </w:r>
      <w:r>
        <w:tab/>
      </w:r>
      <w:r>
        <w:fldChar w:fldCharType="begin"/>
      </w:r>
      <w:r>
        <w:instrText xml:space="preserve"> PAGEREF _Toc12830 \h </w:instrText>
      </w:r>
      <w:r>
        <w:fldChar w:fldCharType="separate"/>
      </w:r>
      <w:r>
        <w:t>7</w:t>
      </w:r>
      <w:r>
        <w:fldChar w:fldCharType="end"/>
      </w:r>
      <w:r>
        <w:rPr>
          <w:rFonts w:hint="eastAsia" w:asciiTheme="majorEastAsia" w:hAnsiTheme="majorEastAsia" w:eastAsiaTheme="majorEastAsia" w:cstheme="majorEastAsia"/>
          <w:bCs/>
          <w:caps/>
          <w:szCs w:val="21"/>
        </w:rPr>
        <w:fldChar w:fldCharType="end"/>
      </w:r>
    </w:p>
    <w:p w14:paraId="776D6B2D">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_Toc22150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2.4物料状态分析表</w:t>
      </w:r>
      <w:r>
        <w:tab/>
      </w:r>
      <w:r>
        <w:fldChar w:fldCharType="begin"/>
      </w:r>
      <w:r>
        <w:instrText xml:space="preserve"> PAGEREF _Toc22150 \h </w:instrText>
      </w:r>
      <w:r>
        <w:fldChar w:fldCharType="separate"/>
      </w:r>
      <w:r>
        <w:t>8</w:t>
      </w:r>
      <w:r>
        <w:fldChar w:fldCharType="end"/>
      </w:r>
      <w:r>
        <w:rPr>
          <w:rFonts w:hint="eastAsia" w:asciiTheme="majorEastAsia" w:hAnsiTheme="majorEastAsia" w:eastAsiaTheme="majorEastAsia" w:cstheme="majorEastAsia"/>
          <w:bCs/>
          <w:caps/>
          <w:szCs w:val="21"/>
        </w:rPr>
        <w:fldChar w:fldCharType="end"/>
      </w:r>
    </w:p>
    <w:p w14:paraId="23FF9956">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_Toc11603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2.5受控装置分析清单</w:t>
      </w:r>
      <w:r>
        <w:tab/>
      </w:r>
      <w:r>
        <w:fldChar w:fldCharType="begin"/>
      </w:r>
      <w:r>
        <w:instrText xml:space="preserve"> PAGEREF _Toc11603 \h </w:instrText>
      </w:r>
      <w:r>
        <w:fldChar w:fldCharType="separate"/>
      </w:r>
      <w:r>
        <w:t>9</w:t>
      </w:r>
      <w:r>
        <w:fldChar w:fldCharType="end"/>
      </w:r>
      <w:r>
        <w:rPr>
          <w:rFonts w:hint="eastAsia" w:asciiTheme="majorEastAsia" w:hAnsiTheme="majorEastAsia" w:eastAsiaTheme="majorEastAsia" w:cstheme="majorEastAsia"/>
          <w:bCs/>
          <w:caps/>
          <w:szCs w:val="21"/>
        </w:rPr>
        <w:fldChar w:fldCharType="end"/>
      </w:r>
    </w:p>
    <w:p w14:paraId="0A2AD061">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_Toc25871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2.6装置适合性分析</w:t>
      </w:r>
      <w:r>
        <w:tab/>
      </w:r>
      <w:r>
        <w:fldChar w:fldCharType="begin"/>
      </w:r>
      <w:r>
        <w:instrText xml:space="preserve"> PAGEREF _Toc25871 \h </w:instrText>
      </w:r>
      <w:r>
        <w:fldChar w:fldCharType="separate"/>
      </w:r>
      <w:r>
        <w:t>10</w:t>
      </w:r>
      <w:r>
        <w:fldChar w:fldCharType="end"/>
      </w:r>
      <w:r>
        <w:rPr>
          <w:rFonts w:hint="eastAsia" w:asciiTheme="majorEastAsia" w:hAnsiTheme="majorEastAsia" w:eastAsiaTheme="majorEastAsia" w:cstheme="majorEastAsia"/>
          <w:bCs/>
          <w:caps/>
          <w:szCs w:val="21"/>
        </w:rPr>
        <w:fldChar w:fldCharType="end"/>
      </w:r>
    </w:p>
    <w:p w14:paraId="7C39E79A">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_Toc12514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2.7响应因子分析</w:t>
      </w:r>
      <w:r>
        <w:tab/>
      </w:r>
      <w:r>
        <w:fldChar w:fldCharType="begin"/>
      </w:r>
      <w:r>
        <w:instrText xml:space="preserve"> PAGEREF _Toc12514 \h </w:instrText>
      </w:r>
      <w:r>
        <w:fldChar w:fldCharType="separate"/>
      </w:r>
      <w:r>
        <w:t>10</w:t>
      </w:r>
      <w:r>
        <w:fldChar w:fldCharType="end"/>
      </w:r>
      <w:r>
        <w:rPr>
          <w:rFonts w:hint="eastAsia" w:asciiTheme="majorEastAsia" w:hAnsiTheme="majorEastAsia" w:eastAsiaTheme="majorEastAsia" w:cstheme="majorEastAsia"/>
          <w:bCs/>
          <w:caps/>
          <w:szCs w:val="21"/>
        </w:rPr>
        <w:fldChar w:fldCharType="end"/>
      </w:r>
    </w:p>
    <w:p w14:paraId="5BE292FB">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_Toc15877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3 现场</w:t>
      </w:r>
      <w:r>
        <w:rPr>
          <w:rFonts w:hint="eastAsia" w:asciiTheme="majorEastAsia" w:hAnsiTheme="majorEastAsia" w:eastAsiaTheme="majorEastAsia" w:cstheme="majorEastAsia"/>
        </w:rPr>
        <w:t>检测</w:t>
      </w:r>
      <w:r>
        <w:tab/>
      </w:r>
      <w:r>
        <w:fldChar w:fldCharType="begin"/>
      </w:r>
      <w:r>
        <w:instrText xml:space="preserve"> PAGEREF _Toc15877 \h </w:instrText>
      </w:r>
      <w:r>
        <w:fldChar w:fldCharType="separate"/>
      </w:r>
      <w:r>
        <w:t>13</w:t>
      </w:r>
      <w:r>
        <w:fldChar w:fldCharType="end"/>
      </w:r>
      <w:r>
        <w:rPr>
          <w:rFonts w:hint="eastAsia" w:asciiTheme="majorEastAsia" w:hAnsiTheme="majorEastAsia" w:eastAsiaTheme="majorEastAsia" w:cstheme="majorEastAsia"/>
          <w:bCs/>
          <w:caps/>
          <w:szCs w:val="21"/>
        </w:rPr>
        <w:fldChar w:fldCharType="end"/>
      </w:r>
    </w:p>
    <w:p w14:paraId="5AA86279">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_Toc10169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3.1检测设备及辅助设备</w:t>
      </w:r>
      <w:r>
        <w:tab/>
      </w:r>
      <w:r>
        <w:fldChar w:fldCharType="begin"/>
      </w:r>
      <w:r>
        <w:instrText xml:space="preserve"> PAGEREF _Toc10169 \h </w:instrText>
      </w:r>
      <w:r>
        <w:fldChar w:fldCharType="separate"/>
      </w:r>
      <w:r>
        <w:t>13</w:t>
      </w:r>
      <w:r>
        <w:fldChar w:fldCharType="end"/>
      </w:r>
      <w:r>
        <w:rPr>
          <w:rFonts w:hint="eastAsia" w:asciiTheme="majorEastAsia" w:hAnsiTheme="majorEastAsia" w:eastAsiaTheme="majorEastAsia" w:cstheme="majorEastAsia"/>
          <w:bCs/>
          <w:caps/>
          <w:szCs w:val="21"/>
        </w:rPr>
        <w:fldChar w:fldCharType="end"/>
      </w:r>
    </w:p>
    <w:p w14:paraId="544510DB">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_Toc20088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3.2</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lang w:val="en-US" w:eastAsia="zh-CN"/>
        </w:rPr>
        <w:t>现场作业安全检查</w:t>
      </w:r>
      <w:r>
        <w:tab/>
      </w:r>
      <w:r>
        <w:fldChar w:fldCharType="begin"/>
      </w:r>
      <w:r>
        <w:instrText xml:space="preserve"> PAGEREF _Toc20088 \h </w:instrText>
      </w:r>
      <w:r>
        <w:fldChar w:fldCharType="separate"/>
      </w:r>
      <w:r>
        <w:t>14</w:t>
      </w:r>
      <w:r>
        <w:fldChar w:fldCharType="end"/>
      </w:r>
      <w:r>
        <w:rPr>
          <w:rFonts w:hint="eastAsia" w:asciiTheme="majorEastAsia" w:hAnsiTheme="majorEastAsia" w:eastAsiaTheme="majorEastAsia" w:cstheme="majorEastAsia"/>
          <w:bCs/>
          <w:caps/>
          <w:szCs w:val="21"/>
        </w:rPr>
        <w:fldChar w:fldCharType="end"/>
      </w:r>
    </w:p>
    <w:p w14:paraId="502776EC">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_Toc10519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3.3 现场检测记录</w:t>
      </w:r>
      <w:r>
        <w:tab/>
      </w:r>
      <w:r>
        <w:fldChar w:fldCharType="begin"/>
      </w:r>
      <w:r>
        <w:instrText xml:space="preserve"> PAGEREF _Toc10519 \h </w:instrText>
      </w:r>
      <w:r>
        <w:fldChar w:fldCharType="separate"/>
      </w:r>
      <w:r>
        <w:t>14</w:t>
      </w:r>
      <w:r>
        <w:fldChar w:fldCharType="end"/>
      </w:r>
      <w:r>
        <w:rPr>
          <w:rFonts w:hint="eastAsia" w:asciiTheme="majorEastAsia" w:hAnsiTheme="majorEastAsia" w:eastAsiaTheme="majorEastAsia" w:cstheme="majorEastAsia"/>
          <w:bCs/>
          <w:caps/>
          <w:szCs w:val="21"/>
        </w:rPr>
        <w:fldChar w:fldCharType="end"/>
      </w:r>
    </w:p>
    <w:p w14:paraId="5491A2D5">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_Toc32086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3.4现场检测情况录入企业LDAR软件管理系统</w:t>
      </w:r>
      <w:r>
        <w:tab/>
      </w:r>
      <w:r>
        <w:fldChar w:fldCharType="begin"/>
      </w:r>
      <w:r>
        <w:instrText xml:space="preserve"> PAGEREF _Toc32086 \h </w:instrText>
      </w:r>
      <w:r>
        <w:fldChar w:fldCharType="separate"/>
      </w:r>
      <w:r>
        <w:t>14</w:t>
      </w:r>
      <w:r>
        <w:fldChar w:fldCharType="end"/>
      </w:r>
      <w:r>
        <w:rPr>
          <w:rFonts w:hint="eastAsia" w:asciiTheme="majorEastAsia" w:hAnsiTheme="majorEastAsia" w:eastAsiaTheme="majorEastAsia" w:cstheme="majorEastAsia"/>
          <w:bCs/>
          <w:caps/>
          <w:szCs w:val="21"/>
        </w:rPr>
        <w:fldChar w:fldCharType="end"/>
      </w:r>
    </w:p>
    <w:p w14:paraId="1F1CB2FC">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_Toc8760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bCs/>
          <w:lang w:val="en-US" w:eastAsia="zh-CN"/>
        </w:rPr>
        <w:t>4.泄漏检测</w:t>
      </w:r>
      <w:r>
        <w:tab/>
      </w:r>
      <w:r>
        <w:fldChar w:fldCharType="begin"/>
      </w:r>
      <w:r>
        <w:instrText xml:space="preserve"> PAGEREF _Toc8760 \h </w:instrText>
      </w:r>
      <w:r>
        <w:fldChar w:fldCharType="separate"/>
      </w:r>
      <w:r>
        <w:t>15</w:t>
      </w:r>
      <w:r>
        <w:fldChar w:fldCharType="end"/>
      </w:r>
      <w:r>
        <w:rPr>
          <w:rFonts w:hint="eastAsia" w:asciiTheme="majorEastAsia" w:hAnsiTheme="majorEastAsia" w:eastAsiaTheme="majorEastAsia" w:cstheme="majorEastAsia"/>
          <w:bCs/>
          <w:caps/>
          <w:szCs w:val="21"/>
        </w:rPr>
        <w:fldChar w:fldCharType="end"/>
      </w:r>
    </w:p>
    <w:p w14:paraId="685DED55">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_Toc9444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4.1泄漏</w:t>
      </w:r>
      <w:r>
        <w:rPr>
          <w:rFonts w:hint="eastAsia" w:asciiTheme="majorEastAsia" w:hAnsiTheme="majorEastAsia" w:eastAsiaTheme="majorEastAsia" w:cstheme="majorEastAsia"/>
        </w:rPr>
        <w:t>密封点统计</w:t>
      </w:r>
      <w:r>
        <w:tab/>
      </w:r>
      <w:r>
        <w:fldChar w:fldCharType="begin"/>
      </w:r>
      <w:r>
        <w:instrText xml:space="preserve"> PAGEREF _Toc9444 \h </w:instrText>
      </w:r>
      <w:r>
        <w:fldChar w:fldCharType="separate"/>
      </w:r>
      <w:r>
        <w:t>15</w:t>
      </w:r>
      <w:r>
        <w:fldChar w:fldCharType="end"/>
      </w:r>
      <w:r>
        <w:rPr>
          <w:rFonts w:hint="eastAsia" w:asciiTheme="majorEastAsia" w:hAnsiTheme="majorEastAsia" w:eastAsiaTheme="majorEastAsia" w:cstheme="majorEastAsia"/>
          <w:bCs/>
          <w:caps/>
          <w:szCs w:val="21"/>
        </w:rPr>
        <w:fldChar w:fldCharType="end"/>
      </w:r>
    </w:p>
    <w:p w14:paraId="555F85BD">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_Toc1630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4.2</w:t>
      </w:r>
      <w:r>
        <w:rPr>
          <w:rFonts w:hint="eastAsia" w:asciiTheme="majorEastAsia" w:hAnsiTheme="majorEastAsia" w:eastAsiaTheme="majorEastAsia" w:cstheme="majorEastAsia"/>
        </w:rPr>
        <w:t>泄漏点维修</w:t>
      </w:r>
      <w:r>
        <w:tab/>
      </w:r>
      <w:r>
        <w:fldChar w:fldCharType="begin"/>
      </w:r>
      <w:r>
        <w:instrText xml:space="preserve"> PAGEREF _Toc1630 \h </w:instrText>
      </w:r>
      <w:r>
        <w:fldChar w:fldCharType="separate"/>
      </w:r>
      <w:r>
        <w:t>15</w:t>
      </w:r>
      <w:r>
        <w:fldChar w:fldCharType="end"/>
      </w:r>
      <w:r>
        <w:rPr>
          <w:rFonts w:hint="eastAsia" w:asciiTheme="majorEastAsia" w:hAnsiTheme="majorEastAsia" w:eastAsiaTheme="majorEastAsia" w:cstheme="majorEastAsia"/>
          <w:bCs/>
          <w:caps/>
          <w:szCs w:val="21"/>
        </w:rPr>
        <w:fldChar w:fldCharType="end"/>
      </w:r>
    </w:p>
    <w:p w14:paraId="26FFC522">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_Toc11557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rPr>
        <w:t>泄漏点维修规定</w:t>
      </w:r>
      <w:r>
        <w:tab/>
      </w:r>
      <w:r>
        <w:fldChar w:fldCharType="begin"/>
      </w:r>
      <w:r>
        <w:instrText xml:space="preserve"> PAGEREF _Toc11557 \h </w:instrText>
      </w:r>
      <w:r>
        <w:fldChar w:fldCharType="separate"/>
      </w:r>
      <w:r>
        <w:t>15</w:t>
      </w:r>
      <w:r>
        <w:fldChar w:fldCharType="end"/>
      </w:r>
      <w:r>
        <w:rPr>
          <w:rFonts w:hint="eastAsia" w:asciiTheme="majorEastAsia" w:hAnsiTheme="majorEastAsia" w:eastAsiaTheme="majorEastAsia" w:cstheme="majorEastAsia"/>
          <w:bCs/>
          <w:caps/>
          <w:szCs w:val="21"/>
        </w:rPr>
        <w:fldChar w:fldCharType="end"/>
      </w:r>
    </w:p>
    <w:p w14:paraId="6E3D2FE7">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_Toc30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4.3排放量、泄漏量统计</w:t>
      </w:r>
      <w:r>
        <w:tab/>
      </w:r>
      <w:r>
        <w:fldChar w:fldCharType="begin"/>
      </w:r>
      <w:r>
        <w:instrText xml:space="preserve"> PAGEREF _Toc30 \h </w:instrText>
      </w:r>
      <w:r>
        <w:fldChar w:fldCharType="separate"/>
      </w:r>
      <w:r>
        <w:t>16</w:t>
      </w:r>
      <w:r>
        <w:fldChar w:fldCharType="end"/>
      </w:r>
      <w:r>
        <w:rPr>
          <w:rFonts w:hint="eastAsia" w:asciiTheme="majorEastAsia" w:hAnsiTheme="majorEastAsia" w:eastAsiaTheme="majorEastAsia" w:cstheme="majorEastAsia"/>
          <w:bCs/>
          <w:caps/>
          <w:szCs w:val="21"/>
        </w:rPr>
        <w:fldChar w:fldCharType="end"/>
      </w:r>
    </w:p>
    <w:p w14:paraId="790C840D">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_Toc30325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4.4开展 LDAR 环境效益分析，实施 LDAR 后的效益</w:t>
      </w:r>
      <w:r>
        <w:tab/>
      </w:r>
      <w:r>
        <w:fldChar w:fldCharType="begin"/>
      </w:r>
      <w:r>
        <w:instrText xml:space="preserve"> PAGEREF _Toc30325 \h </w:instrText>
      </w:r>
      <w:r>
        <w:fldChar w:fldCharType="separate"/>
      </w:r>
      <w:r>
        <w:t>18</w:t>
      </w:r>
      <w:r>
        <w:fldChar w:fldCharType="end"/>
      </w:r>
      <w:r>
        <w:rPr>
          <w:rFonts w:hint="eastAsia" w:asciiTheme="majorEastAsia" w:hAnsiTheme="majorEastAsia" w:eastAsiaTheme="majorEastAsia" w:cstheme="majorEastAsia"/>
          <w:bCs/>
          <w:caps/>
          <w:szCs w:val="21"/>
        </w:rPr>
        <w:fldChar w:fldCharType="end"/>
      </w:r>
    </w:p>
    <w:p w14:paraId="6D5E822D">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_Toc13852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5.持续LDAR</w:t>
      </w:r>
      <w:r>
        <w:tab/>
      </w:r>
      <w:r>
        <w:fldChar w:fldCharType="begin"/>
      </w:r>
      <w:r>
        <w:instrText xml:space="preserve"> PAGEREF _Toc13852 \h </w:instrText>
      </w:r>
      <w:r>
        <w:fldChar w:fldCharType="separate"/>
      </w:r>
      <w:r>
        <w:t>18</w:t>
      </w:r>
      <w:r>
        <w:fldChar w:fldCharType="end"/>
      </w:r>
      <w:r>
        <w:rPr>
          <w:rFonts w:hint="eastAsia" w:asciiTheme="majorEastAsia" w:hAnsiTheme="majorEastAsia" w:eastAsiaTheme="majorEastAsia" w:cstheme="majorEastAsia"/>
          <w:bCs/>
          <w:caps/>
          <w:szCs w:val="21"/>
        </w:rPr>
        <w:fldChar w:fldCharType="end"/>
      </w:r>
    </w:p>
    <w:p w14:paraId="46696D6D">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_Toc32211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5.1 LDAR环境和经济效益</w:t>
      </w:r>
      <w:r>
        <w:tab/>
      </w:r>
      <w:r>
        <w:fldChar w:fldCharType="begin"/>
      </w:r>
      <w:r>
        <w:instrText xml:space="preserve"> PAGEREF _Toc32211 \h </w:instrText>
      </w:r>
      <w:r>
        <w:fldChar w:fldCharType="separate"/>
      </w:r>
      <w:r>
        <w:t>18</w:t>
      </w:r>
      <w:r>
        <w:fldChar w:fldCharType="end"/>
      </w:r>
      <w:r>
        <w:rPr>
          <w:rFonts w:hint="eastAsia" w:asciiTheme="majorEastAsia" w:hAnsiTheme="majorEastAsia" w:eastAsiaTheme="majorEastAsia" w:cstheme="majorEastAsia"/>
          <w:bCs/>
          <w:caps/>
          <w:szCs w:val="21"/>
        </w:rPr>
        <w:fldChar w:fldCharType="end"/>
      </w:r>
    </w:p>
    <w:p w14:paraId="46FB1328">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_Toc1688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5.2下季度LDAR工作计划</w:t>
      </w:r>
      <w:r>
        <w:tab/>
      </w:r>
      <w:r>
        <w:fldChar w:fldCharType="begin"/>
      </w:r>
      <w:r>
        <w:instrText xml:space="preserve"> PAGEREF _Toc1688 \h </w:instrText>
      </w:r>
      <w:r>
        <w:fldChar w:fldCharType="separate"/>
      </w:r>
      <w:r>
        <w:t>19</w:t>
      </w:r>
      <w:r>
        <w:fldChar w:fldCharType="end"/>
      </w:r>
      <w:r>
        <w:rPr>
          <w:rFonts w:hint="eastAsia" w:asciiTheme="majorEastAsia" w:hAnsiTheme="majorEastAsia" w:eastAsiaTheme="majorEastAsia" w:cstheme="majorEastAsia"/>
          <w:bCs/>
          <w:caps/>
          <w:szCs w:val="21"/>
        </w:rPr>
        <w:fldChar w:fldCharType="end"/>
      </w:r>
    </w:p>
    <w:p w14:paraId="6E7597D4">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_Toc12472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rPr>
        <w:t>附表</w:t>
      </w:r>
      <w:r>
        <w:rPr>
          <w:rFonts w:hint="eastAsia" w:asciiTheme="majorEastAsia" w:hAnsiTheme="majorEastAsia" w:eastAsiaTheme="majorEastAsia" w:cstheme="majorEastAsia"/>
          <w:lang w:val="en-US" w:eastAsia="zh-CN"/>
        </w:rPr>
        <w:t>6</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bCs/>
          <w:caps w:val="0"/>
          <w:spacing w:val="0"/>
          <w:kern w:val="2"/>
          <w:szCs w:val="28"/>
          <w:lang w:val="en-US" w:eastAsia="zh-CN" w:bidi="en-US"/>
        </w:rPr>
        <w:t xml:space="preserve"> 山东万达化工有限公司2024年第三季度LDAR汇总表</w:t>
      </w:r>
      <w:r>
        <w:tab/>
      </w:r>
      <w:r>
        <w:fldChar w:fldCharType="begin"/>
      </w:r>
      <w:r>
        <w:instrText xml:space="preserve"> PAGEREF _Toc12472 \h </w:instrText>
      </w:r>
      <w:r>
        <w:fldChar w:fldCharType="separate"/>
      </w:r>
      <w:r>
        <w:t>20</w:t>
      </w:r>
      <w:r>
        <w:fldChar w:fldCharType="end"/>
      </w:r>
      <w:r>
        <w:rPr>
          <w:rFonts w:hint="eastAsia" w:asciiTheme="majorEastAsia" w:hAnsiTheme="majorEastAsia" w:eastAsiaTheme="majorEastAsia" w:cstheme="majorEastAsia"/>
          <w:bCs/>
          <w:caps/>
          <w:szCs w:val="21"/>
        </w:rPr>
        <w:fldChar w:fldCharType="end"/>
      </w:r>
    </w:p>
    <w:p w14:paraId="0165C737">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_Toc30846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1"/>
          <w:lang w:val="en-US" w:eastAsia="zh-CN"/>
        </w:rPr>
        <w:t>表6.1 山东万达化工有限公司ODA一装置LDAR 2024年第三轮统计表</w:t>
      </w:r>
      <w:r>
        <w:tab/>
      </w:r>
      <w:r>
        <w:fldChar w:fldCharType="begin"/>
      </w:r>
      <w:r>
        <w:instrText xml:space="preserve"> PAGEREF _Toc30846 \h </w:instrText>
      </w:r>
      <w:r>
        <w:fldChar w:fldCharType="separate"/>
      </w:r>
      <w:r>
        <w:t>21</w:t>
      </w:r>
      <w:r>
        <w:fldChar w:fldCharType="end"/>
      </w:r>
      <w:r>
        <w:rPr>
          <w:rFonts w:hint="eastAsia" w:asciiTheme="majorEastAsia" w:hAnsiTheme="majorEastAsia" w:eastAsiaTheme="majorEastAsia" w:cstheme="majorEastAsia"/>
          <w:bCs/>
          <w:caps/>
          <w:szCs w:val="21"/>
        </w:rPr>
        <w:fldChar w:fldCharType="end"/>
      </w:r>
    </w:p>
    <w:p w14:paraId="4C5B2305">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_Toc21612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1"/>
          <w:lang w:val="en-US" w:eastAsia="zh-CN"/>
        </w:rPr>
        <w:t>表6.2 山东万达化工有限公司ODA二装置LDAR 2024年第三轮统计表</w:t>
      </w:r>
      <w:r>
        <w:tab/>
      </w:r>
      <w:r>
        <w:fldChar w:fldCharType="begin"/>
      </w:r>
      <w:r>
        <w:instrText xml:space="preserve"> PAGEREF _Toc21612 \h </w:instrText>
      </w:r>
      <w:r>
        <w:fldChar w:fldCharType="separate"/>
      </w:r>
      <w:r>
        <w:t>22</w:t>
      </w:r>
      <w:r>
        <w:fldChar w:fldCharType="end"/>
      </w:r>
      <w:r>
        <w:rPr>
          <w:rFonts w:hint="eastAsia" w:asciiTheme="majorEastAsia" w:hAnsiTheme="majorEastAsia" w:eastAsiaTheme="majorEastAsia" w:cstheme="majorEastAsia"/>
          <w:bCs/>
          <w:caps/>
          <w:szCs w:val="21"/>
        </w:rPr>
        <w:fldChar w:fldCharType="end"/>
      </w:r>
    </w:p>
    <w:p w14:paraId="1218A6CA">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_Toc21971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1"/>
          <w:lang w:val="en-US" w:eastAsia="zh-CN"/>
        </w:rPr>
        <w:t>表6.3 山东万达化工有限公司储运装置LDAR 2024年第三轮统计表</w:t>
      </w:r>
      <w:r>
        <w:tab/>
      </w:r>
      <w:r>
        <w:fldChar w:fldCharType="begin"/>
      </w:r>
      <w:r>
        <w:instrText xml:space="preserve"> PAGEREF _Toc21971 \h </w:instrText>
      </w:r>
      <w:r>
        <w:fldChar w:fldCharType="separate"/>
      </w:r>
      <w:r>
        <w:t>23</w:t>
      </w:r>
      <w:r>
        <w:fldChar w:fldCharType="end"/>
      </w:r>
      <w:r>
        <w:rPr>
          <w:rFonts w:hint="eastAsia" w:asciiTheme="majorEastAsia" w:hAnsiTheme="majorEastAsia" w:eastAsiaTheme="majorEastAsia" w:cstheme="majorEastAsia"/>
          <w:bCs/>
          <w:caps/>
          <w:szCs w:val="21"/>
        </w:rPr>
        <w:fldChar w:fldCharType="end"/>
      </w:r>
    </w:p>
    <w:p w14:paraId="6C4BECA4">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_Toc17717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1"/>
          <w:lang w:val="en-US" w:eastAsia="zh-CN"/>
        </w:rPr>
        <w:t>表6.4 山东万达化工有限公司新材料一装置LDAR 2024年第三轮统计表</w:t>
      </w:r>
      <w:r>
        <w:tab/>
      </w:r>
      <w:r>
        <w:fldChar w:fldCharType="begin"/>
      </w:r>
      <w:r>
        <w:instrText xml:space="preserve"> PAGEREF _Toc17717 \h </w:instrText>
      </w:r>
      <w:r>
        <w:fldChar w:fldCharType="separate"/>
      </w:r>
      <w:r>
        <w:t>24</w:t>
      </w:r>
      <w:r>
        <w:fldChar w:fldCharType="end"/>
      </w:r>
      <w:r>
        <w:rPr>
          <w:rFonts w:hint="eastAsia" w:asciiTheme="majorEastAsia" w:hAnsiTheme="majorEastAsia" w:eastAsiaTheme="majorEastAsia" w:cstheme="majorEastAsia"/>
          <w:bCs/>
          <w:caps/>
          <w:szCs w:val="21"/>
        </w:rPr>
        <w:fldChar w:fldCharType="end"/>
      </w:r>
    </w:p>
    <w:p w14:paraId="3CFEE7BC">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_Toc17082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1"/>
          <w:lang w:val="en-US" w:eastAsia="zh-CN"/>
        </w:rPr>
        <w:t xml:space="preserve">表6.5 </w:t>
      </w:r>
      <w:r>
        <w:rPr>
          <w:rFonts w:hint="eastAsia" w:asciiTheme="majorEastAsia" w:hAnsiTheme="majorEastAsia" w:eastAsiaTheme="majorEastAsia" w:cstheme="majorEastAsia"/>
          <w:bCs/>
          <w:szCs w:val="21"/>
          <w:lang w:val="en-US" w:eastAsia="zh-CN"/>
        </w:rPr>
        <w:t>山东万达化工有限公司</w:t>
      </w:r>
      <w:r>
        <w:rPr>
          <w:rFonts w:hint="eastAsia" w:asciiTheme="majorEastAsia" w:hAnsiTheme="majorEastAsia" w:eastAsiaTheme="majorEastAsia" w:cstheme="majorEastAsia"/>
          <w:szCs w:val="21"/>
          <w:lang w:val="en-US" w:eastAsia="zh-CN"/>
        </w:rPr>
        <w:t>2024年第三季度LDAR普查表</w:t>
      </w:r>
      <w:r>
        <w:tab/>
      </w:r>
      <w:r>
        <w:fldChar w:fldCharType="begin"/>
      </w:r>
      <w:r>
        <w:instrText xml:space="preserve"> PAGEREF _Toc17082 \h </w:instrText>
      </w:r>
      <w:r>
        <w:fldChar w:fldCharType="separate"/>
      </w:r>
      <w:r>
        <w:t>25</w:t>
      </w:r>
      <w:r>
        <w:fldChar w:fldCharType="end"/>
      </w:r>
      <w:r>
        <w:rPr>
          <w:rFonts w:hint="eastAsia" w:asciiTheme="majorEastAsia" w:hAnsiTheme="majorEastAsia" w:eastAsiaTheme="majorEastAsia" w:cstheme="majorEastAsia"/>
          <w:bCs/>
          <w:caps/>
          <w:szCs w:val="21"/>
        </w:rPr>
        <w:fldChar w:fldCharType="end"/>
      </w:r>
    </w:p>
    <w:p w14:paraId="6E4736F2">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_Toc13274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1"/>
          <w:lang w:val="en-US" w:eastAsia="zh-CN"/>
        </w:rPr>
        <w:t>表6.6  山东万达化工有限公司2024年第三季度泄漏点复检表</w:t>
      </w:r>
      <w:r>
        <w:tab/>
      </w:r>
      <w:r>
        <w:fldChar w:fldCharType="begin"/>
      </w:r>
      <w:r>
        <w:instrText xml:space="preserve"> PAGEREF _Toc13274 \h </w:instrText>
      </w:r>
      <w:r>
        <w:fldChar w:fldCharType="separate"/>
      </w:r>
      <w:r>
        <w:t>26</w:t>
      </w:r>
      <w:r>
        <w:fldChar w:fldCharType="end"/>
      </w:r>
      <w:r>
        <w:rPr>
          <w:rFonts w:hint="eastAsia" w:asciiTheme="majorEastAsia" w:hAnsiTheme="majorEastAsia" w:eastAsiaTheme="majorEastAsia" w:cstheme="majorEastAsia"/>
          <w:bCs/>
          <w:caps/>
          <w:szCs w:val="21"/>
        </w:rPr>
        <w:fldChar w:fldCharType="end"/>
      </w:r>
    </w:p>
    <w:p w14:paraId="29A91655">
      <w:pPr>
        <w:spacing w:line="360" w:lineRule="auto"/>
        <w:ind w:firstLine="4200" w:firstLineChars="2000"/>
        <w:jc w:val="both"/>
        <w:rPr>
          <w:rFonts w:hint="eastAsia" w:asciiTheme="majorEastAsia" w:hAnsiTheme="majorEastAsia" w:eastAsiaTheme="majorEastAsia" w:cstheme="majorEastAsia"/>
          <w:b/>
          <w:bCs/>
          <w:color w:val="000000"/>
          <w:sz w:val="21"/>
          <w:szCs w:val="21"/>
        </w:rPr>
        <w:sectPr>
          <w:footerReference r:id="rId7" w:type="first"/>
          <w:pgSz w:w="11905" w:h="16838"/>
          <w:pgMar w:top="1417" w:right="1803" w:bottom="1247" w:left="1803" w:header="850" w:footer="992" w:gutter="0"/>
          <w:pgBorders>
            <w:top w:val="none" w:sz="0" w:space="0"/>
            <w:left w:val="none" w:sz="0" w:space="0"/>
            <w:bottom w:val="none" w:sz="0" w:space="0"/>
            <w:right w:val="none" w:sz="0" w:space="0"/>
          </w:pgBorders>
          <w:pgNumType w:fmt="decimal" w:start="1"/>
          <w:cols w:space="720" w:num="1"/>
          <w:rtlGutter w:val="0"/>
          <w:docGrid w:type="lines" w:linePitch="332" w:charSpace="0"/>
        </w:sectPr>
      </w:pPr>
      <w:r>
        <w:rPr>
          <w:rFonts w:hint="eastAsia" w:asciiTheme="majorEastAsia" w:hAnsiTheme="majorEastAsia" w:eastAsiaTheme="majorEastAsia" w:cstheme="majorEastAsia"/>
          <w:bCs/>
          <w:caps/>
          <w:sz w:val="21"/>
          <w:szCs w:val="21"/>
        </w:rPr>
        <w:fldChar w:fldCharType="end"/>
      </w:r>
    </w:p>
    <w:p w14:paraId="01B8F1F8">
      <w:pPr>
        <w:pStyle w:val="3"/>
        <w:numPr>
          <w:ilvl w:val="0"/>
          <w:numId w:val="0"/>
        </w:numPr>
        <w:ind w:leftChars="0"/>
        <w:jc w:val="center"/>
        <w:rPr>
          <w:rFonts w:hint="eastAsia" w:asciiTheme="majorEastAsia" w:hAnsiTheme="majorEastAsia" w:eastAsiaTheme="majorEastAsia" w:cstheme="majorEastAsia"/>
          <w:color w:val="auto"/>
          <w:lang w:val="en-US" w:eastAsia="zh-CN"/>
        </w:rPr>
      </w:pPr>
      <w:bookmarkStart w:id="7" w:name="_Toc4215"/>
      <w:bookmarkStart w:id="8" w:name="_Toc757"/>
      <w:r>
        <w:rPr>
          <w:rFonts w:hint="eastAsia" w:asciiTheme="majorEastAsia" w:hAnsiTheme="majorEastAsia" w:eastAsiaTheme="majorEastAsia" w:cstheme="majorEastAsia"/>
          <w:color w:val="auto"/>
          <w:lang w:val="en-US" w:eastAsia="zh-CN"/>
        </w:rPr>
        <w:t>说明</w:t>
      </w:r>
      <w:bookmarkEnd w:id="7"/>
      <w:bookmarkEnd w:id="8"/>
    </w:p>
    <w:p w14:paraId="445A2ED8">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一、对检测数据如有异议，请于收到报告之日起十五日内向本公司提出。</w:t>
      </w:r>
    </w:p>
    <w:p w14:paraId="2DCFDB38">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二、报告无编制、审批、批准人签字无效。</w:t>
      </w:r>
    </w:p>
    <w:p w14:paraId="2A7BAB58">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三、本报告未盖我公司</w:t>
      </w:r>
      <w:r>
        <w:rPr>
          <w:rFonts w:hint="eastAsia" w:asciiTheme="majorEastAsia" w:hAnsiTheme="majorEastAsia" w:eastAsiaTheme="majorEastAsia" w:cstheme="majorEastAsia"/>
          <w:sz w:val="21"/>
          <w:szCs w:val="21"/>
          <w:lang w:eastAsia="zh-CN"/>
        </w:rPr>
        <w:t>检测专用</w:t>
      </w:r>
      <w:r>
        <w:rPr>
          <w:rFonts w:hint="eastAsia" w:asciiTheme="majorEastAsia" w:hAnsiTheme="majorEastAsia" w:eastAsiaTheme="majorEastAsia" w:cstheme="majorEastAsia"/>
          <w:sz w:val="21"/>
          <w:szCs w:val="21"/>
        </w:rPr>
        <w:t>章、骑缝章，报告涂改无效。</w:t>
      </w:r>
    </w:p>
    <w:p w14:paraId="6E5A0F0B">
      <w:pPr>
        <w:spacing w:line="480" w:lineRule="auto"/>
        <w:ind w:left="482"/>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四、未经本公司书面批准，不得复制报告和做评优、审批及商品宣传用，经同意复制的报告应加盖</w:t>
      </w:r>
      <w:r>
        <w:rPr>
          <w:rFonts w:hint="eastAsia" w:asciiTheme="majorEastAsia" w:hAnsiTheme="majorEastAsia" w:eastAsiaTheme="majorEastAsia" w:cstheme="majorEastAsia"/>
          <w:sz w:val="21"/>
          <w:szCs w:val="21"/>
          <w:lang w:val="en-US" w:eastAsia="zh-CN"/>
        </w:rPr>
        <w:t>山东泓启环保技术服务有限公司公章（全文复制除外）。</w:t>
      </w:r>
    </w:p>
    <w:p w14:paraId="3C597C3B">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五、本报告分为正本和副本，正本交客户，副本连同原始记录一并存档。</w:t>
      </w:r>
    </w:p>
    <w:p w14:paraId="266C51EB">
      <w:pPr>
        <w:ind w:left="480"/>
        <w:rPr>
          <w:rFonts w:hint="eastAsia" w:asciiTheme="majorEastAsia" w:hAnsiTheme="majorEastAsia" w:eastAsiaTheme="majorEastAsia" w:cstheme="majorEastAsia"/>
          <w:sz w:val="21"/>
          <w:szCs w:val="21"/>
        </w:rPr>
      </w:pPr>
    </w:p>
    <w:p w14:paraId="4E718740">
      <w:pPr>
        <w:spacing w:line="480" w:lineRule="auto"/>
        <w:rPr>
          <w:rFonts w:hint="eastAsia" w:asciiTheme="majorEastAsia" w:hAnsiTheme="majorEastAsia" w:eastAsiaTheme="majorEastAsia" w:cstheme="majorEastAsia"/>
          <w:sz w:val="21"/>
          <w:szCs w:val="21"/>
        </w:rPr>
      </w:pPr>
    </w:p>
    <w:p w14:paraId="38B1375B">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检测机构：</w:t>
      </w:r>
      <w:r>
        <w:rPr>
          <w:rFonts w:hint="eastAsia" w:asciiTheme="majorEastAsia" w:hAnsiTheme="majorEastAsia" w:eastAsiaTheme="majorEastAsia" w:cstheme="majorEastAsia"/>
          <w:sz w:val="21"/>
          <w:szCs w:val="21"/>
          <w:lang w:val="en-US" w:eastAsia="zh-CN"/>
        </w:rPr>
        <w:t>山东泓启环保技术服务有限公司</w:t>
      </w:r>
    </w:p>
    <w:p w14:paraId="6FAC6D86">
      <w:pPr>
        <w:spacing w:line="480" w:lineRule="auto"/>
        <w:ind w:left="482"/>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地址：</w:t>
      </w:r>
      <w:r>
        <w:rPr>
          <w:rFonts w:hint="eastAsia" w:asciiTheme="majorEastAsia" w:hAnsiTheme="majorEastAsia" w:eastAsiaTheme="majorEastAsia" w:cstheme="majorEastAsia"/>
          <w:sz w:val="21"/>
          <w:szCs w:val="21"/>
          <w:lang w:val="en-US" w:eastAsia="zh-CN"/>
        </w:rPr>
        <w:t>山东省东营市开发区东六路25号1幢</w:t>
      </w:r>
    </w:p>
    <w:p w14:paraId="238D286B">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邮政编码：257000</w:t>
      </w:r>
    </w:p>
    <w:p w14:paraId="72D8B384">
      <w:pPr>
        <w:spacing w:line="480" w:lineRule="auto"/>
        <w:ind w:left="482"/>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联系电话：</w:t>
      </w:r>
      <w:r>
        <w:rPr>
          <w:rFonts w:hint="eastAsia" w:asciiTheme="majorEastAsia" w:hAnsiTheme="majorEastAsia" w:eastAsiaTheme="majorEastAsia" w:cstheme="majorEastAsia"/>
          <w:sz w:val="21"/>
          <w:szCs w:val="21"/>
          <w:lang w:val="en-US" w:eastAsia="zh-CN"/>
        </w:rPr>
        <w:t>18754667678</w:t>
      </w:r>
    </w:p>
    <w:p w14:paraId="463831A2">
      <w:pPr>
        <w:pStyle w:val="3"/>
        <w:numPr>
          <w:ilvl w:val="0"/>
          <w:numId w:val="0"/>
        </w:numPr>
        <w:bidi w:val="0"/>
        <w:ind w:leftChars="0"/>
        <w:jc w:val="both"/>
        <w:rPr>
          <w:rFonts w:hint="eastAsia" w:asciiTheme="majorEastAsia" w:hAnsiTheme="majorEastAsia" w:eastAsiaTheme="majorEastAsia" w:cstheme="majorEastAsia"/>
          <w:color w:val="auto"/>
          <w:sz w:val="36"/>
          <w:szCs w:val="36"/>
          <w:lang w:val="en-US" w:eastAsia="zh-CN"/>
        </w:rPr>
      </w:pPr>
    </w:p>
    <w:p w14:paraId="33DAD481">
      <w:pPr>
        <w:rPr>
          <w:rFonts w:hint="eastAsia" w:asciiTheme="majorEastAsia" w:hAnsiTheme="majorEastAsia" w:eastAsiaTheme="majorEastAsia" w:cstheme="majorEastAsia"/>
          <w:color w:val="auto"/>
          <w:sz w:val="36"/>
          <w:szCs w:val="36"/>
          <w:lang w:val="en-US" w:eastAsia="zh-CN"/>
        </w:rPr>
      </w:pPr>
    </w:p>
    <w:p w14:paraId="7F7290F8">
      <w:pPr>
        <w:pStyle w:val="6"/>
        <w:rPr>
          <w:rFonts w:hint="eastAsia" w:asciiTheme="majorEastAsia" w:hAnsiTheme="majorEastAsia" w:eastAsiaTheme="majorEastAsia" w:cstheme="majorEastAsia"/>
          <w:color w:val="auto"/>
          <w:sz w:val="36"/>
          <w:szCs w:val="36"/>
          <w:lang w:val="en-US" w:eastAsia="zh-CN"/>
        </w:rPr>
      </w:pPr>
    </w:p>
    <w:p w14:paraId="22BD681C">
      <w:pPr>
        <w:pStyle w:val="6"/>
        <w:rPr>
          <w:rFonts w:hint="eastAsia" w:asciiTheme="majorEastAsia" w:hAnsiTheme="majorEastAsia" w:eastAsiaTheme="majorEastAsia" w:cstheme="majorEastAsia"/>
          <w:color w:val="auto"/>
          <w:sz w:val="36"/>
          <w:szCs w:val="36"/>
          <w:lang w:val="en-US" w:eastAsia="zh-CN"/>
        </w:rPr>
      </w:pPr>
    </w:p>
    <w:p w14:paraId="42614F3E">
      <w:pPr>
        <w:pStyle w:val="6"/>
        <w:rPr>
          <w:rFonts w:hint="eastAsia" w:asciiTheme="majorEastAsia" w:hAnsiTheme="majorEastAsia" w:eastAsiaTheme="majorEastAsia" w:cstheme="majorEastAsia"/>
          <w:color w:val="auto"/>
          <w:sz w:val="36"/>
          <w:szCs w:val="36"/>
          <w:lang w:val="en-US" w:eastAsia="zh-CN"/>
        </w:rPr>
      </w:pPr>
    </w:p>
    <w:p w14:paraId="3123723D">
      <w:pPr>
        <w:pStyle w:val="6"/>
        <w:rPr>
          <w:rFonts w:hint="eastAsia" w:asciiTheme="majorEastAsia" w:hAnsiTheme="majorEastAsia" w:eastAsiaTheme="majorEastAsia" w:cstheme="majorEastAsia"/>
          <w:color w:val="auto"/>
          <w:sz w:val="36"/>
          <w:szCs w:val="36"/>
          <w:lang w:val="en-US" w:eastAsia="zh-CN"/>
        </w:rPr>
      </w:pPr>
    </w:p>
    <w:p w14:paraId="0D5CD953">
      <w:pPr>
        <w:pStyle w:val="6"/>
        <w:rPr>
          <w:rFonts w:hint="eastAsia" w:asciiTheme="majorEastAsia" w:hAnsiTheme="majorEastAsia" w:eastAsiaTheme="majorEastAsia" w:cstheme="majorEastAsia"/>
          <w:color w:val="auto"/>
          <w:sz w:val="36"/>
          <w:szCs w:val="36"/>
          <w:lang w:val="en-US" w:eastAsia="zh-CN"/>
        </w:rPr>
      </w:pPr>
    </w:p>
    <w:p w14:paraId="267F7D57">
      <w:pPr>
        <w:pStyle w:val="6"/>
        <w:rPr>
          <w:rFonts w:hint="eastAsia" w:asciiTheme="majorEastAsia" w:hAnsiTheme="majorEastAsia" w:eastAsiaTheme="majorEastAsia" w:cstheme="majorEastAsia"/>
          <w:color w:val="auto"/>
          <w:sz w:val="36"/>
          <w:szCs w:val="36"/>
          <w:lang w:val="en-US" w:eastAsia="zh-CN"/>
        </w:rPr>
      </w:pPr>
    </w:p>
    <w:p w14:paraId="2E1BFE7F">
      <w:pPr>
        <w:pStyle w:val="6"/>
        <w:rPr>
          <w:rFonts w:hint="eastAsia" w:asciiTheme="majorEastAsia" w:hAnsiTheme="majorEastAsia" w:eastAsiaTheme="majorEastAsia" w:cstheme="majorEastAsia"/>
          <w:color w:val="auto"/>
          <w:sz w:val="36"/>
          <w:szCs w:val="36"/>
          <w:lang w:val="en-US" w:eastAsia="zh-CN"/>
        </w:rPr>
      </w:pPr>
    </w:p>
    <w:p w14:paraId="62ADD766">
      <w:pPr>
        <w:pStyle w:val="6"/>
        <w:rPr>
          <w:rFonts w:hint="eastAsia" w:asciiTheme="majorEastAsia" w:hAnsiTheme="majorEastAsia" w:eastAsiaTheme="majorEastAsia" w:cstheme="majorEastAsia"/>
          <w:color w:val="auto"/>
          <w:sz w:val="36"/>
          <w:szCs w:val="36"/>
          <w:lang w:val="en-US" w:eastAsia="zh-CN"/>
        </w:rPr>
      </w:pPr>
    </w:p>
    <w:p w14:paraId="1AB5D728">
      <w:pPr>
        <w:pStyle w:val="6"/>
        <w:rPr>
          <w:rFonts w:hint="eastAsia" w:asciiTheme="majorEastAsia" w:hAnsiTheme="majorEastAsia" w:eastAsiaTheme="majorEastAsia" w:cstheme="majorEastAsia"/>
          <w:color w:val="auto"/>
          <w:sz w:val="36"/>
          <w:szCs w:val="36"/>
          <w:lang w:val="en-US" w:eastAsia="zh-CN"/>
        </w:rPr>
      </w:pPr>
    </w:p>
    <w:p w14:paraId="3CCFCAD3">
      <w:pPr>
        <w:pStyle w:val="3"/>
        <w:numPr>
          <w:ilvl w:val="0"/>
          <w:numId w:val="0"/>
        </w:numPr>
        <w:bidi w:val="0"/>
        <w:ind w:leftChars="0"/>
        <w:jc w:val="center"/>
        <w:rPr>
          <w:rFonts w:hint="eastAsia" w:asciiTheme="majorEastAsia" w:hAnsiTheme="majorEastAsia" w:eastAsiaTheme="majorEastAsia" w:cstheme="majorEastAsia"/>
          <w:color w:val="auto"/>
          <w:lang w:val="en-US" w:eastAsia="zh-CN"/>
        </w:rPr>
      </w:pPr>
      <w:bookmarkStart w:id="9" w:name="_Toc17850"/>
      <w:bookmarkStart w:id="10" w:name="_Toc5904"/>
      <w:bookmarkStart w:id="11" w:name="_Toc21670"/>
      <w:r>
        <w:rPr>
          <w:rFonts w:hint="eastAsia" w:asciiTheme="majorEastAsia" w:hAnsiTheme="majorEastAsia" w:eastAsiaTheme="majorEastAsia" w:cstheme="majorEastAsia"/>
          <w:color w:val="auto"/>
          <w:sz w:val="36"/>
          <w:szCs w:val="36"/>
          <w:lang w:val="en-US" w:eastAsia="zh-CN"/>
        </w:rPr>
        <w:t>资质</w:t>
      </w:r>
      <w:bookmarkEnd w:id="9"/>
      <w:bookmarkEnd w:id="10"/>
      <w:r>
        <w:rPr>
          <w:rFonts w:hint="eastAsia" w:asciiTheme="majorEastAsia" w:hAnsiTheme="majorEastAsia" w:eastAsiaTheme="majorEastAsia" w:cstheme="majorEastAsia"/>
          <w:color w:val="auto"/>
          <w:sz w:val="36"/>
          <w:szCs w:val="36"/>
          <w:lang w:val="en-US" w:eastAsia="zh-CN"/>
        </w:rPr>
        <w:t>证书</w:t>
      </w:r>
      <w:bookmarkEnd w:id="11"/>
      <w:bookmarkStart w:id="12" w:name="_Toc27415"/>
    </w:p>
    <w:bookmarkEnd w:id="12"/>
    <w:p w14:paraId="776370E4">
      <w:pPr>
        <w:bidi w:val="0"/>
        <w:jc w:val="center"/>
        <w:rPr>
          <w:rFonts w:hint="eastAsia"/>
          <w:lang w:val="en-US" w:eastAsia="zh-CN"/>
        </w:rPr>
        <w:sectPr>
          <w:headerReference r:id="rId8" w:type="default"/>
          <w:footerReference r:id="rId9" w:type="default"/>
          <w:pgSz w:w="11906" w:h="16838"/>
          <w:pgMar w:top="1134" w:right="1134" w:bottom="1134" w:left="1134" w:header="567" w:footer="567" w:gutter="0"/>
          <w:pgBorders>
            <w:top w:val="none" w:sz="0" w:space="0"/>
            <w:left w:val="none" w:sz="0" w:space="0"/>
            <w:bottom w:val="none" w:sz="0" w:space="0"/>
            <w:right w:val="none" w:sz="0" w:space="0"/>
          </w:pgBorders>
          <w:pgNumType w:fmt="decimal" w:start="1"/>
          <w:cols w:space="425" w:num="1"/>
          <w:docGrid w:type="lines" w:linePitch="312" w:charSpace="0"/>
        </w:sectPr>
      </w:pPr>
      <w:bookmarkStart w:id="13" w:name="_Toc27027"/>
      <w:r>
        <w:rPr>
          <w:rFonts w:hint="eastAsia"/>
          <w:lang w:val="en-US" w:eastAsia="zh-CN"/>
        </w:rPr>
        <w:drawing>
          <wp:inline distT="0" distB="0" distL="114300" distR="114300">
            <wp:extent cx="4679950" cy="6840220"/>
            <wp:effectExtent l="0" t="0" r="6350" b="17780"/>
            <wp:docPr id="17" name="图片 17" descr="泓启CMA资质"/>
            <wp:cNvGraphicFramePr/>
            <a:graphic xmlns:a="http://schemas.openxmlformats.org/drawingml/2006/main">
              <a:graphicData uri="http://schemas.openxmlformats.org/drawingml/2006/picture">
                <pic:pic xmlns:pic="http://schemas.openxmlformats.org/drawingml/2006/picture">
                  <pic:nvPicPr>
                    <pic:cNvPr id="17" name="图片 17" descr="泓启CMA资质"/>
                    <pic:cNvPicPr/>
                  </pic:nvPicPr>
                  <pic:blipFill>
                    <a:blip r:embed="rId14"/>
                    <a:stretch>
                      <a:fillRect/>
                    </a:stretch>
                  </pic:blipFill>
                  <pic:spPr>
                    <a:xfrm>
                      <a:off x="0" y="0"/>
                      <a:ext cx="4679950" cy="6840220"/>
                    </a:xfrm>
                    <a:prstGeom prst="rect">
                      <a:avLst/>
                    </a:prstGeom>
                  </pic:spPr>
                </pic:pic>
              </a:graphicData>
            </a:graphic>
          </wp:inline>
        </w:drawing>
      </w:r>
    </w:p>
    <w:p w14:paraId="52DA4DDD">
      <w:pPr>
        <w:rPr>
          <w:rFonts w:hint="eastAsia" w:asciiTheme="majorEastAsia" w:hAnsiTheme="majorEastAsia" w:eastAsiaTheme="majorEastAsia" w:cstheme="majorEastAsia"/>
          <w:lang w:val="en-US" w:eastAsia="zh-CN"/>
        </w:rPr>
      </w:pPr>
    </w:p>
    <w:p w14:paraId="66FC1228">
      <w:pPr>
        <w:pStyle w:val="3"/>
        <w:numPr>
          <w:ilvl w:val="0"/>
          <w:numId w:val="0"/>
        </w:numPr>
        <w:ind w:leftChars="0"/>
        <w:jc w:val="center"/>
        <w:rPr>
          <w:rFonts w:hint="eastAsia" w:asciiTheme="majorEastAsia" w:hAnsiTheme="majorEastAsia" w:eastAsiaTheme="majorEastAsia" w:cstheme="majorEastAsia"/>
          <w:color w:val="auto"/>
          <w:lang w:val="en-US" w:eastAsia="zh-CN"/>
        </w:rPr>
      </w:pPr>
      <w:bookmarkStart w:id="14" w:name="_Toc16243"/>
      <w:bookmarkStart w:id="15" w:name="_Toc12519"/>
      <w:r>
        <w:rPr>
          <w:rFonts w:hint="eastAsia" w:asciiTheme="majorEastAsia" w:hAnsiTheme="majorEastAsia" w:eastAsiaTheme="majorEastAsia" w:cstheme="majorEastAsia"/>
          <w:color w:val="auto"/>
          <w:lang w:val="en-US" w:eastAsia="zh-CN"/>
        </w:rPr>
        <w:t>本报告规范性引用文件</w:t>
      </w:r>
      <w:bookmarkEnd w:id="13"/>
      <w:bookmarkEnd w:id="14"/>
      <w:bookmarkEnd w:id="15"/>
    </w:p>
    <w:p w14:paraId="448222F4">
      <w:pPr>
        <w:pStyle w:val="6"/>
        <w:keepNext w:val="0"/>
        <w:keepLines w:val="0"/>
        <w:pageBreakBefore w:val="0"/>
        <w:widowControl w:val="0"/>
        <w:kinsoku/>
        <w:wordWrap/>
        <w:overflowPunct/>
        <w:topLinePunct w:val="0"/>
        <w:autoSpaceDE/>
        <w:autoSpaceDN/>
        <w:bidi w:val="0"/>
        <w:adjustRightInd/>
        <w:snapToGrid/>
        <w:spacing w:line="400" w:lineRule="exact"/>
        <w:ind w:left="188" w:right="338" w:firstLine="48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本标准内容引用了下列文件或其中的条款，最新版本适用于本规范，相关要求根据最新标准及政策进行取严要求。</w:t>
      </w:r>
    </w:p>
    <w:p w14:paraId="7463E7C4">
      <w:pPr>
        <w:pStyle w:val="6"/>
        <w:keepNext w:val="0"/>
        <w:keepLines w:val="0"/>
        <w:pageBreakBefore w:val="0"/>
        <w:widowControl w:val="0"/>
        <w:kinsoku/>
        <w:wordWrap/>
        <w:overflowPunct/>
        <w:topLinePunct w:val="0"/>
        <w:autoSpaceDE/>
        <w:autoSpaceDN/>
        <w:bidi w:val="0"/>
        <w:adjustRightInd/>
        <w:snapToGrid/>
        <w:spacing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《石化行业泄漏检测与修复技术指南》（环办〔2015〕104 号）</w:t>
      </w:r>
    </w:p>
    <w:p w14:paraId="2038D14A">
      <w:pPr>
        <w:pStyle w:val="6"/>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《泄漏和敞开液面排放的挥发性有机物检测技术导则》（HJ733—2014）</w:t>
      </w:r>
    </w:p>
    <w:p w14:paraId="383B90F1">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《挥发性有机物无组织排放控制标准》</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GB 37822—2019</w:t>
      </w:r>
      <w:r>
        <w:rPr>
          <w:rFonts w:hint="eastAsia" w:asciiTheme="majorEastAsia" w:hAnsiTheme="majorEastAsia" w:eastAsiaTheme="majorEastAsia" w:cstheme="majorEastAsia"/>
          <w:sz w:val="21"/>
          <w:szCs w:val="21"/>
          <w:lang w:eastAsia="zh-CN"/>
        </w:rPr>
        <w:t>）</w:t>
      </w:r>
    </w:p>
    <w:p w14:paraId="21AF8F6E">
      <w:pPr>
        <w:pStyle w:val="6"/>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《石化行业 VOCs 污染源排查指南》（环办〔2015〕104 号）</w:t>
      </w:r>
    </w:p>
    <w:p w14:paraId="5139CFFC">
      <w:pPr>
        <w:pStyle w:val="6"/>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《石化行业挥发性有机污染物综合整治方案》（环发〔2014〕177 号）</w:t>
      </w:r>
    </w:p>
    <w:p w14:paraId="698B7369">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pacing w:val="-1"/>
          <w:sz w:val="21"/>
          <w:szCs w:val="21"/>
        </w:rPr>
        <w:t>《石油炼制工业污染物排放标准》</w:t>
      </w:r>
      <w:r>
        <w:rPr>
          <w:rFonts w:hint="eastAsia" w:asciiTheme="majorEastAsia" w:hAnsiTheme="majorEastAsia" w:eastAsiaTheme="majorEastAsia" w:cstheme="majorEastAsia"/>
          <w:spacing w:val="-1"/>
          <w:sz w:val="21"/>
          <w:szCs w:val="21"/>
          <w:lang w:eastAsia="zh-CN"/>
        </w:rPr>
        <w:t>（</w:t>
      </w:r>
      <w:r>
        <w:rPr>
          <w:rFonts w:hint="eastAsia" w:asciiTheme="majorEastAsia" w:hAnsiTheme="majorEastAsia" w:eastAsiaTheme="majorEastAsia" w:cstheme="majorEastAsia"/>
          <w:sz w:val="21"/>
          <w:szCs w:val="21"/>
        </w:rPr>
        <w:t>GB31570—2015</w:t>
      </w:r>
      <w:r>
        <w:rPr>
          <w:rFonts w:hint="eastAsia" w:asciiTheme="majorEastAsia" w:hAnsiTheme="majorEastAsia" w:eastAsiaTheme="majorEastAsia" w:cstheme="majorEastAsia"/>
          <w:sz w:val="21"/>
          <w:szCs w:val="21"/>
          <w:lang w:eastAsia="zh-CN"/>
        </w:rPr>
        <w:t>）</w:t>
      </w:r>
    </w:p>
    <w:p w14:paraId="19CB9EE6">
      <w:pPr>
        <w:pStyle w:val="6"/>
        <w:keepNext w:val="0"/>
        <w:keepLines w:val="0"/>
        <w:pageBreakBefore w:val="0"/>
        <w:widowControl w:val="0"/>
        <w:kinsoku/>
        <w:wordWrap/>
        <w:overflowPunct/>
        <w:topLinePunct w:val="0"/>
        <w:autoSpaceDE/>
        <w:autoSpaceDN/>
        <w:bidi w:val="0"/>
        <w:adjustRightInd/>
        <w:snapToGrid/>
        <w:spacing w:before="131" w:line="400" w:lineRule="exact"/>
        <w:ind w:left="668"/>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pacing w:val="-1"/>
          <w:sz w:val="21"/>
          <w:szCs w:val="21"/>
        </w:rPr>
        <w:t>《石油化学工业污染物排放标准》</w:t>
      </w:r>
      <w:r>
        <w:rPr>
          <w:rFonts w:hint="eastAsia" w:asciiTheme="majorEastAsia" w:hAnsiTheme="majorEastAsia" w:eastAsiaTheme="majorEastAsia" w:cstheme="majorEastAsia"/>
          <w:spacing w:val="-1"/>
          <w:sz w:val="21"/>
          <w:szCs w:val="21"/>
          <w:lang w:eastAsia="zh-CN"/>
        </w:rPr>
        <w:t>（</w:t>
      </w:r>
      <w:r>
        <w:rPr>
          <w:rFonts w:hint="eastAsia" w:asciiTheme="majorEastAsia" w:hAnsiTheme="majorEastAsia" w:eastAsiaTheme="majorEastAsia" w:cstheme="majorEastAsia"/>
          <w:sz w:val="21"/>
          <w:szCs w:val="21"/>
        </w:rPr>
        <w:t>GB31571—2015</w:t>
      </w:r>
      <w:r>
        <w:rPr>
          <w:rFonts w:hint="eastAsia" w:asciiTheme="majorEastAsia" w:hAnsiTheme="majorEastAsia" w:eastAsiaTheme="majorEastAsia" w:cstheme="majorEastAsia"/>
          <w:sz w:val="21"/>
          <w:szCs w:val="21"/>
          <w:lang w:eastAsia="zh-CN"/>
        </w:rPr>
        <w:t>）</w:t>
      </w:r>
    </w:p>
    <w:p w14:paraId="769A3980">
      <w:pPr>
        <w:pStyle w:val="6"/>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pacing w:val="-1"/>
          <w:sz w:val="21"/>
          <w:szCs w:val="21"/>
        </w:rPr>
        <w:t>《合成树脂工业污染物排放标准》</w:t>
      </w:r>
      <w:r>
        <w:rPr>
          <w:rFonts w:hint="eastAsia" w:asciiTheme="majorEastAsia" w:hAnsiTheme="majorEastAsia" w:eastAsiaTheme="majorEastAsia" w:cstheme="majorEastAsia"/>
          <w:spacing w:val="-1"/>
          <w:sz w:val="21"/>
          <w:szCs w:val="21"/>
          <w:lang w:eastAsia="zh-CN"/>
        </w:rPr>
        <w:t>（</w:t>
      </w:r>
      <w:r>
        <w:rPr>
          <w:rFonts w:hint="eastAsia" w:asciiTheme="majorEastAsia" w:hAnsiTheme="majorEastAsia" w:eastAsiaTheme="majorEastAsia" w:cstheme="majorEastAsia"/>
          <w:sz w:val="21"/>
          <w:szCs w:val="21"/>
        </w:rPr>
        <w:t>GB31572—2015</w:t>
      </w:r>
      <w:r>
        <w:rPr>
          <w:rFonts w:hint="eastAsia" w:asciiTheme="majorEastAsia" w:hAnsiTheme="majorEastAsia" w:eastAsiaTheme="majorEastAsia" w:cstheme="majorEastAsia"/>
          <w:sz w:val="21"/>
          <w:szCs w:val="21"/>
          <w:lang w:eastAsia="zh-CN"/>
        </w:rPr>
        <w:t>）</w:t>
      </w:r>
    </w:p>
    <w:p w14:paraId="5149D9DE">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《山东省石化等四个重点行业挥发性有机物综合整治方案》（鲁环办〔2014〕56 号）</w:t>
      </w:r>
    </w:p>
    <w:p w14:paraId="08DA7472">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《山东省重点行业挥发性有机物专项治理方案》（鲁环发〔2016〕162 号）</w:t>
      </w:r>
    </w:p>
    <w:p w14:paraId="75D389E8">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《山东省“十三五”挥发性有机物污染防治工作方案》（鲁环发〔2017〕331 号）</w:t>
      </w:r>
    </w:p>
    <w:p w14:paraId="66799620">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《山东省生态环境保护“十三五”规划》（鲁政发〔2017〕10 号）</w:t>
      </w:r>
    </w:p>
    <w:p w14:paraId="5EE77F75">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《山东省“十三五”节能减排综合工作方案的通知》（鲁政发〔2017〕15 号）</w:t>
      </w:r>
    </w:p>
    <w:p w14:paraId="3FB690F0">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zh-CN" w:eastAsia="zh-CN"/>
        </w:rPr>
      </w:pPr>
      <w:r>
        <w:rPr>
          <w:rFonts w:hint="eastAsia" w:asciiTheme="majorEastAsia" w:hAnsiTheme="majorEastAsia" w:eastAsiaTheme="majorEastAsia" w:cstheme="majorEastAsia"/>
          <w:sz w:val="21"/>
          <w:szCs w:val="21"/>
          <w:lang w:val="en-US" w:eastAsia="zh-CN"/>
        </w:rPr>
        <w:t>《工业企业挥发性有机物泄漏检测与修复技术指南》（HJ 1230—2021）</w:t>
      </w:r>
    </w:p>
    <w:p w14:paraId="24AF12FD">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《挥发性有机物排污收费试点办法》（财税[2015]71号）中《石油化工行业VOCs排放量计算办法》</w:t>
      </w:r>
      <w:r>
        <w:rPr>
          <w:rFonts w:hint="eastAsia" w:asciiTheme="majorEastAsia" w:hAnsiTheme="majorEastAsia" w:eastAsiaTheme="majorEastAsia" w:cstheme="majorEastAsia"/>
          <w:sz w:val="21"/>
          <w:szCs w:val="21"/>
          <w:lang w:val="en-US" w:eastAsia="zh-CN"/>
        </w:rPr>
        <w:t xml:space="preserve"> </w:t>
      </w:r>
    </w:p>
    <w:p w14:paraId="786C46D5">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《东营市大气污染防治条例》</w:t>
      </w:r>
    </w:p>
    <w:p w14:paraId="4E9A6B0F">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《东营市挥发性有机物泄漏检测与修复（LDAR）实施技术导则》</w:t>
      </w:r>
    </w:p>
    <w:p w14:paraId="42DFF7AB">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zh-CN"/>
        </w:rPr>
      </w:pPr>
    </w:p>
    <w:p w14:paraId="38BAE5BB">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zh-CN"/>
        </w:rPr>
      </w:pPr>
    </w:p>
    <w:p w14:paraId="1146C4C3">
      <w:pPr>
        <w:rPr>
          <w:rFonts w:hint="eastAsia" w:asciiTheme="majorEastAsia" w:hAnsiTheme="majorEastAsia" w:eastAsiaTheme="majorEastAsia" w:cstheme="majorEastAsia"/>
          <w:lang w:val="zh-CN"/>
        </w:rPr>
      </w:pPr>
    </w:p>
    <w:p w14:paraId="4692D3D2">
      <w:pPr>
        <w:pStyle w:val="6"/>
        <w:rPr>
          <w:rFonts w:hint="eastAsia" w:asciiTheme="majorEastAsia" w:hAnsiTheme="majorEastAsia" w:eastAsiaTheme="majorEastAsia" w:cstheme="majorEastAsia"/>
          <w:lang w:val="zh-CN"/>
        </w:rPr>
      </w:pPr>
    </w:p>
    <w:p w14:paraId="15B53D30">
      <w:pPr>
        <w:rPr>
          <w:rFonts w:hint="eastAsia" w:asciiTheme="majorEastAsia" w:hAnsiTheme="majorEastAsia" w:eastAsiaTheme="majorEastAsia" w:cstheme="majorEastAsia"/>
          <w:lang w:val="en-US" w:eastAsia="zh-CN"/>
        </w:rPr>
      </w:pPr>
    </w:p>
    <w:p w14:paraId="49AF3B18">
      <w:pPr>
        <w:pStyle w:val="3"/>
        <w:numPr>
          <w:ilvl w:val="0"/>
          <w:numId w:val="0"/>
        </w:numPr>
        <w:bidi w:val="0"/>
        <w:ind w:leftChars="0"/>
        <w:rPr>
          <w:rFonts w:hint="eastAsia" w:asciiTheme="majorEastAsia" w:hAnsiTheme="majorEastAsia" w:eastAsiaTheme="majorEastAsia" w:cstheme="majorEastAsia"/>
          <w:color w:val="auto"/>
          <w:lang w:val="en-US" w:eastAsia="zh-CN"/>
        </w:rPr>
      </w:pPr>
    </w:p>
    <w:p w14:paraId="424DE10C">
      <w:pPr>
        <w:pStyle w:val="3"/>
        <w:numPr>
          <w:ilvl w:val="0"/>
          <w:numId w:val="0"/>
        </w:numPr>
        <w:bidi w:val="0"/>
        <w:ind w:leftChars="0"/>
        <w:rPr>
          <w:rFonts w:hint="eastAsia" w:asciiTheme="majorEastAsia" w:hAnsiTheme="majorEastAsia" w:eastAsiaTheme="majorEastAsia" w:cstheme="majorEastAsia"/>
          <w:color w:val="auto"/>
          <w:lang w:val="en-US" w:eastAsia="zh-CN"/>
        </w:rPr>
      </w:pPr>
    </w:p>
    <w:p w14:paraId="2E017897">
      <w:pPr>
        <w:pStyle w:val="3"/>
        <w:numPr>
          <w:ilvl w:val="0"/>
          <w:numId w:val="2"/>
        </w:numPr>
        <w:tabs>
          <w:tab w:val="clear" w:pos="312"/>
        </w:tabs>
        <w:bidi w:val="0"/>
        <w:ind w:leftChars="0"/>
        <w:rPr>
          <w:rFonts w:hint="eastAsia" w:asciiTheme="majorEastAsia" w:hAnsiTheme="majorEastAsia" w:eastAsiaTheme="majorEastAsia" w:cstheme="majorEastAsia"/>
          <w:color w:val="auto"/>
          <w:lang w:val="en-US" w:eastAsia="zh-CN"/>
        </w:rPr>
      </w:pPr>
      <w:bookmarkStart w:id="16" w:name="_Toc11739"/>
      <w:r>
        <w:rPr>
          <w:rFonts w:hint="eastAsia" w:asciiTheme="majorEastAsia" w:hAnsiTheme="majorEastAsia" w:eastAsiaTheme="majorEastAsia" w:cstheme="majorEastAsia"/>
          <w:color w:val="auto"/>
          <w:lang w:val="en-US" w:eastAsia="zh-CN"/>
        </w:rPr>
        <w:t>挥发性有机物（VOC</w:t>
      </w:r>
      <w:r>
        <w:rPr>
          <w:rFonts w:hint="eastAsia" w:asciiTheme="majorEastAsia" w:hAnsiTheme="majorEastAsia" w:eastAsiaTheme="majorEastAsia" w:cstheme="majorEastAsia"/>
          <w:b/>
          <w:bCs/>
          <w:color w:val="auto"/>
          <w:sz w:val="21"/>
          <w:szCs w:val="21"/>
          <w:u w:val="none"/>
          <w:lang w:val="en-US" w:eastAsia="zh-CN"/>
        </w:rPr>
        <w:t>s</w:t>
      </w:r>
      <w:r>
        <w:rPr>
          <w:rFonts w:hint="eastAsia" w:asciiTheme="majorEastAsia" w:hAnsiTheme="majorEastAsia" w:eastAsiaTheme="majorEastAsia" w:cstheme="majorEastAsia"/>
          <w:color w:val="auto"/>
          <w:lang w:val="en-US" w:eastAsia="zh-CN"/>
        </w:rPr>
        <w:t>）检测结果报告单</w:t>
      </w:r>
      <w:bookmarkEnd w:id="16"/>
    </w:p>
    <w:tbl>
      <w:tblPr>
        <w:tblStyle w:val="13"/>
        <w:tblpPr w:leftFromText="180" w:rightFromText="180" w:vertAnchor="page" w:horzAnchor="page" w:tblpX="1177" w:tblpY="2789"/>
        <w:tblW w:w="5043"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61"/>
        <w:gridCol w:w="843"/>
        <w:gridCol w:w="1080"/>
        <w:gridCol w:w="1119"/>
        <w:gridCol w:w="352"/>
        <w:gridCol w:w="801"/>
        <w:gridCol w:w="449"/>
        <w:gridCol w:w="805"/>
        <w:gridCol w:w="346"/>
        <w:gridCol w:w="728"/>
        <w:gridCol w:w="1855"/>
      </w:tblGrid>
      <w:tr w14:paraId="4C0756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noWrap w:val="0"/>
            <w:vAlign w:val="center"/>
          </w:tcPr>
          <w:p w14:paraId="0C93BDB3">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bookmarkStart w:id="17" w:name="_Toc9554"/>
            <w:r>
              <w:rPr>
                <w:rFonts w:hint="eastAsia" w:asciiTheme="majorEastAsia" w:hAnsiTheme="majorEastAsia" w:eastAsiaTheme="majorEastAsia" w:cstheme="majorEastAsia"/>
                <w:color w:val="auto"/>
                <w:sz w:val="21"/>
                <w:szCs w:val="21"/>
                <w:lang w:val="en-US" w:eastAsia="zh-CN"/>
              </w:rPr>
              <w:t>名称</w:t>
            </w:r>
          </w:p>
        </w:tc>
        <w:tc>
          <w:tcPr>
            <w:tcW w:w="8378" w:type="dxa"/>
            <w:gridSpan w:val="10"/>
            <w:noWrap w:val="0"/>
            <w:vAlign w:val="center"/>
          </w:tcPr>
          <w:p w14:paraId="394095A3">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山东万达化工有限公司2024年第三季度挥发性有机物检测</w:t>
            </w:r>
          </w:p>
        </w:tc>
      </w:tr>
      <w:tr w14:paraId="70C494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noWrap w:val="0"/>
            <w:vAlign w:val="center"/>
          </w:tcPr>
          <w:p w14:paraId="5DA8CE38">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委托单位</w:t>
            </w:r>
          </w:p>
        </w:tc>
        <w:tc>
          <w:tcPr>
            <w:tcW w:w="8378" w:type="dxa"/>
            <w:gridSpan w:val="10"/>
            <w:noWrap w:val="0"/>
            <w:vAlign w:val="center"/>
          </w:tcPr>
          <w:p w14:paraId="4CC951E4">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山东万达化工有限公司</w:t>
            </w:r>
          </w:p>
        </w:tc>
      </w:tr>
      <w:tr w14:paraId="2E5FEC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noWrap w:val="0"/>
            <w:vAlign w:val="center"/>
          </w:tcPr>
          <w:p w14:paraId="5E44A563">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检测单位</w:t>
            </w:r>
          </w:p>
        </w:tc>
        <w:tc>
          <w:tcPr>
            <w:tcW w:w="8378" w:type="dxa"/>
            <w:gridSpan w:val="10"/>
            <w:noWrap w:val="0"/>
            <w:vAlign w:val="center"/>
          </w:tcPr>
          <w:p w14:paraId="2BABF45B">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山东泓启环保技术服务有限公司</w:t>
            </w:r>
          </w:p>
        </w:tc>
      </w:tr>
      <w:tr w14:paraId="1CF805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noWrap w:val="0"/>
            <w:vAlign w:val="center"/>
          </w:tcPr>
          <w:p w14:paraId="74669E25">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检测地点</w:t>
            </w:r>
          </w:p>
        </w:tc>
        <w:tc>
          <w:tcPr>
            <w:tcW w:w="8378" w:type="dxa"/>
            <w:gridSpan w:val="10"/>
            <w:noWrap w:val="0"/>
            <w:vAlign w:val="center"/>
          </w:tcPr>
          <w:p w14:paraId="72BA815C">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山东省东营市永莘路68号</w:t>
            </w:r>
          </w:p>
        </w:tc>
      </w:tr>
      <w:tr w14:paraId="3E369F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2404" w:type="dxa"/>
            <w:gridSpan w:val="2"/>
            <w:noWrap w:val="0"/>
            <w:vAlign w:val="center"/>
          </w:tcPr>
          <w:p w14:paraId="6394897D">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检测起始日期</w:t>
            </w:r>
          </w:p>
        </w:tc>
        <w:tc>
          <w:tcPr>
            <w:tcW w:w="2551" w:type="dxa"/>
            <w:gridSpan w:val="3"/>
            <w:noWrap w:val="0"/>
            <w:vAlign w:val="center"/>
          </w:tcPr>
          <w:p w14:paraId="25554E12">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2024年09月20日</w:t>
            </w:r>
          </w:p>
        </w:tc>
        <w:tc>
          <w:tcPr>
            <w:tcW w:w="2055" w:type="dxa"/>
            <w:gridSpan w:val="3"/>
            <w:noWrap w:val="0"/>
            <w:vAlign w:val="center"/>
          </w:tcPr>
          <w:p w14:paraId="7050699D">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检测截止日期</w:t>
            </w:r>
          </w:p>
        </w:tc>
        <w:tc>
          <w:tcPr>
            <w:tcW w:w="2929" w:type="dxa"/>
            <w:gridSpan w:val="3"/>
            <w:noWrap w:val="0"/>
            <w:vAlign w:val="center"/>
          </w:tcPr>
          <w:p w14:paraId="660DB29C">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2024年09月21日</w:t>
            </w:r>
          </w:p>
        </w:tc>
      </w:tr>
      <w:tr w14:paraId="360FE7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64" w:hRule="atLeast"/>
        </w:trPr>
        <w:tc>
          <w:tcPr>
            <w:tcW w:w="1561" w:type="dxa"/>
            <w:noWrap w:val="0"/>
            <w:vAlign w:val="center"/>
          </w:tcPr>
          <w:p w14:paraId="10F9EA25">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检测设备</w:t>
            </w:r>
          </w:p>
        </w:tc>
        <w:tc>
          <w:tcPr>
            <w:tcW w:w="4195" w:type="dxa"/>
            <w:gridSpan w:val="5"/>
            <w:noWrap w:val="0"/>
            <w:vAlign w:val="center"/>
          </w:tcPr>
          <w:p w14:paraId="2ADFE6E4">
            <w:pPr>
              <w:pStyle w:val="17"/>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仪器名称：便携式有毒挥发气体分析仪、手持气象站</w:t>
            </w:r>
          </w:p>
          <w:p w14:paraId="032B4ECE">
            <w:pPr>
              <w:pStyle w:val="17"/>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仪器型号：ZR-3130、WS-30</w:t>
            </w:r>
          </w:p>
          <w:p w14:paraId="28C9389B">
            <w:pPr>
              <w:pStyle w:val="17"/>
              <w:spacing w:line="360" w:lineRule="auto"/>
              <w:jc w:val="left"/>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仪器编号：T-003、T-004、T-005、T-006、T-008</w:t>
            </w:r>
          </w:p>
        </w:tc>
        <w:tc>
          <w:tcPr>
            <w:tcW w:w="1600" w:type="dxa"/>
            <w:gridSpan w:val="3"/>
            <w:noWrap w:val="0"/>
            <w:vAlign w:val="center"/>
          </w:tcPr>
          <w:p w14:paraId="49E92FF6">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表征方式</w:t>
            </w:r>
          </w:p>
        </w:tc>
        <w:tc>
          <w:tcPr>
            <w:tcW w:w="2583" w:type="dxa"/>
            <w:gridSpan w:val="2"/>
            <w:noWrap w:val="0"/>
            <w:vAlign w:val="center"/>
          </w:tcPr>
          <w:p w14:paraId="3235832F">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以甲烷计</w:t>
            </w:r>
          </w:p>
        </w:tc>
      </w:tr>
      <w:tr w14:paraId="17D1E9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vMerge w:val="restart"/>
            <w:noWrap w:val="0"/>
            <w:vAlign w:val="center"/>
          </w:tcPr>
          <w:p w14:paraId="6E3B8A8C">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仪器校准</w:t>
            </w:r>
          </w:p>
        </w:tc>
        <w:tc>
          <w:tcPr>
            <w:tcW w:w="4195" w:type="dxa"/>
            <w:gridSpan w:val="5"/>
            <w:noWrap w:val="0"/>
            <w:vAlign w:val="center"/>
          </w:tcPr>
          <w:p w14:paraId="2B4792CD">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响应时间</w:t>
            </w:r>
          </w:p>
        </w:tc>
        <w:tc>
          <w:tcPr>
            <w:tcW w:w="4183" w:type="dxa"/>
            <w:gridSpan w:val="5"/>
            <w:noWrap w:val="0"/>
            <w:vAlign w:val="center"/>
          </w:tcPr>
          <w:p w14:paraId="52F75B56">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符合要求</w:t>
            </w:r>
          </w:p>
        </w:tc>
      </w:tr>
      <w:tr w14:paraId="558050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vMerge w:val="continue"/>
            <w:noWrap w:val="0"/>
            <w:vAlign w:val="center"/>
          </w:tcPr>
          <w:p w14:paraId="12ADFEB6">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4195" w:type="dxa"/>
            <w:gridSpan w:val="5"/>
            <w:noWrap w:val="0"/>
            <w:vAlign w:val="center"/>
          </w:tcPr>
          <w:p w14:paraId="416FDBB8">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示值误差/示值漂移</w:t>
            </w:r>
          </w:p>
        </w:tc>
        <w:tc>
          <w:tcPr>
            <w:tcW w:w="4183" w:type="dxa"/>
            <w:gridSpan w:val="5"/>
            <w:noWrap w:val="0"/>
            <w:vAlign w:val="center"/>
          </w:tcPr>
          <w:p w14:paraId="470AEB0F">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符合要求</w:t>
            </w:r>
          </w:p>
        </w:tc>
      </w:tr>
      <w:tr w14:paraId="299A48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noWrap w:val="0"/>
            <w:vAlign w:val="center"/>
          </w:tcPr>
          <w:p w14:paraId="2C7EFF3F">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方法依据</w:t>
            </w:r>
          </w:p>
        </w:tc>
        <w:tc>
          <w:tcPr>
            <w:tcW w:w="8378" w:type="dxa"/>
            <w:gridSpan w:val="10"/>
            <w:noWrap w:val="0"/>
            <w:vAlign w:val="top"/>
          </w:tcPr>
          <w:p w14:paraId="2E404D55">
            <w:pPr>
              <w:pStyle w:val="17"/>
              <w:spacing w:line="360" w:lineRule="auto"/>
              <w:jc w:val="left"/>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《泄漏和敞开液面排放的挥发性有机物检测技术导则》（HJ733-2014）</w:t>
            </w:r>
          </w:p>
        </w:tc>
      </w:tr>
      <w:tr w14:paraId="37FBCD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7" w:hRule="atLeast"/>
        </w:trPr>
        <w:tc>
          <w:tcPr>
            <w:tcW w:w="1561" w:type="dxa"/>
            <w:noWrap w:val="0"/>
            <w:vAlign w:val="center"/>
          </w:tcPr>
          <w:p w14:paraId="05AFEA6C">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判定依据</w:t>
            </w:r>
          </w:p>
        </w:tc>
        <w:tc>
          <w:tcPr>
            <w:tcW w:w="8378" w:type="dxa"/>
            <w:gridSpan w:val="10"/>
            <w:noWrap w:val="0"/>
            <w:vAlign w:val="center"/>
          </w:tcPr>
          <w:p w14:paraId="7796B34E">
            <w:pPr>
              <w:pStyle w:val="17"/>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《石油化学工业污染物排放标准》（GB 31571-2015）</w:t>
            </w:r>
          </w:p>
          <w:p w14:paraId="73ADFB9D">
            <w:pPr>
              <w:pStyle w:val="17"/>
              <w:spacing w:line="360" w:lineRule="auto"/>
              <w:jc w:val="left"/>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《东营市挥发性有机物泄漏检测与修复（LDAR）实施技术导则》东环字〔2020〕31号</w:t>
            </w:r>
          </w:p>
        </w:tc>
      </w:tr>
      <w:tr w14:paraId="7D3B09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08" w:hRule="atLeast"/>
        </w:trPr>
        <w:tc>
          <w:tcPr>
            <w:tcW w:w="1561" w:type="dxa"/>
            <w:noWrap w:val="0"/>
            <w:vAlign w:val="center"/>
          </w:tcPr>
          <w:p w14:paraId="774A756C">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结果说明</w:t>
            </w:r>
          </w:p>
        </w:tc>
        <w:tc>
          <w:tcPr>
            <w:tcW w:w="8378" w:type="dxa"/>
            <w:gridSpan w:val="10"/>
            <w:noWrap w:val="0"/>
            <w:vAlign w:val="center"/>
          </w:tcPr>
          <w:p w14:paraId="054EC822">
            <w:pPr>
              <w:pStyle w:val="17"/>
              <w:spacing w:line="360" w:lineRule="auto"/>
              <w:jc w:val="left"/>
              <w:rPr>
                <w:rFonts w:hint="eastAsia" w:asciiTheme="majorEastAsia" w:hAnsiTheme="majorEastAsia" w:eastAsiaTheme="majorEastAsia" w:cstheme="majorEastAsia"/>
                <w:color w:val="auto"/>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本轮项目检测：受控密封点位3437个，实际检测密封点位3232个，不可达密封点位205个，发现泄漏密封点位3个，已修复合格泄漏点位3个，泄漏率为:0.09%。</w:t>
            </w:r>
          </w:p>
        </w:tc>
      </w:tr>
      <w:tr w14:paraId="79A7FA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1" w:hRule="atLeast"/>
        </w:trPr>
        <w:tc>
          <w:tcPr>
            <w:tcW w:w="1561" w:type="dxa"/>
            <w:noWrap w:val="0"/>
            <w:vAlign w:val="center"/>
          </w:tcPr>
          <w:p w14:paraId="3E0D4D8D">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检测人员</w:t>
            </w:r>
          </w:p>
        </w:tc>
        <w:tc>
          <w:tcPr>
            <w:tcW w:w="8378" w:type="dxa"/>
            <w:gridSpan w:val="10"/>
            <w:noWrap w:val="0"/>
            <w:vAlign w:val="center"/>
          </w:tcPr>
          <w:p w14:paraId="5C6487A3">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李浩男、许明星、饶子洋、燕政飞</w:t>
            </w:r>
          </w:p>
        </w:tc>
      </w:tr>
      <w:tr w14:paraId="3EA439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1561" w:type="dxa"/>
            <w:noWrap w:val="0"/>
            <w:vAlign w:val="center"/>
          </w:tcPr>
          <w:p w14:paraId="1FE8A5B9">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编制人</w:t>
            </w:r>
          </w:p>
        </w:tc>
        <w:tc>
          <w:tcPr>
            <w:tcW w:w="1923" w:type="dxa"/>
            <w:gridSpan w:val="2"/>
            <w:noWrap w:val="0"/>
            <w:vAlign w:val="center"/>
          </w:tcPr>
          <w:p w14:paraId="72294DA6">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1119" w:type="dxa"/>
            <w:noWrap w:val="0"/>
            <w:vAlign w:val="center"/>
          </w:tcPr>
          <w:p w14:paraId="5B0D237A">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审核人</w:t>
            </w:r>
          </w:p>
        </w:tc>
        <w:tc>
          <w:tcPr>
            <w:tcW w:w="1602" w:type="dxa"/>
            <w:gridSpan w:val="3"/>
            <w:noWrap w:val="0"/>
            <w:vAlign w:val="center"/>
          </w:tcPr>
          <w:p w14:paraId="2BD00AC7">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1879" w:type="dxa"/>
            <w:gridSpan w:val="3"/>
            <w:noWrap w:val="0"/>
            <w:vAlign w:val="center"/>
          </w:tcPr>
          <w:p w14:paraId="3A334238">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授权签字人</w:t>
            </w:r>
          </w:p>
        </w:tc>
        <w:tc>
          <w:tcPr>
            <w:tcW w:w="1855" w:type="dxa"/>
            <w:noWrap w:val="0"/>
            <w:vAlign w:val="center"/>
          </w:tcPr>
          <w:p w14:paraId="27C88D21">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r>
      <w:tr w14:paraId="31383A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1561" w:type="dxa"/>
            <w:noWrap w:val="0"/>
            <w:vAlign w:val="center"/>
          </w:tcPr>
          <w:p w14:paraId="0B2F3DF7">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编制时间</w:t>
            </w:r>
          </w:p>
        </w:tc>
        <w:tc>
          <w:tcPr>
            <w:tcW w:w="1923" w:type="dxa"/>
            <w:gridSpan w:val="2"/>
            <w:noWrap w:val="0"/>
            <w:vAlign w:val="center"/>
          </w:tcPr>
          <w:p w14:paraId="2FE9166A">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1119" w:type="dxa"/>
            <w:noWrap w:val="0"/>
            <w:vAlign w:val="center"/>
          </w:tcPr>
          <w:p w14:paraId="6E5FC5CD">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审核时间</w:t>
            </w:r>
          </w:p>
        </w:tc>
        <w:tc>
          <w:tcPr>
            <w:tcW w:w="1602" w:type="dxa"/>
            <w:gridSpan w:val="3"/>
            <w:noWrap w:val="0"/>
            <w:vAlign w:val="center"/>
          </w:tcPr>
          <w:p w14:paraId="10262EA7">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1879" w:type="dxa"/>
            <w:gridSpan w:val="3"/>
            <w:noWrap w:val="0"/>
            <w:vAlign w:val="center"/>
          </w:tcPr>
          <w:p w14:paraId="392867C4">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签字时间</w:t>
            </w:r>
          </w:p>
        </w:tc>
        <w:tc>
          <w:tcPr>
            <w:tcW w:w="1855" w:type="dxa"/>
            <w:noWrap w:val="0"/>
            <w:vAlign w:val="center"/>
          </w:tcPr>
          <w:p w14:paraId="5BA5B4BB">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r>
      <w:bookmarkEnd w:id="17"/>
    </w:tbl>
    <w:p w14:paraId="2096B5E0">
      <w:pPr>
        <w:rPr>
          <w:rFonts w:hint="eastAsia" w:asciiTheme="majorEastAsia" w:hAnsiTheme="majorEastAsia" w:eastAsiaTheme="majorEastAsia" w:cstheme="majorEastAsia"/>
          <w:color w:val="auto"/>
          <w:lang w:val="en-US" w:eastAsia="zh-CN"/>
        </w:rPr>
      </w:pPr>
    </w:p>
    <w:p w14:paraId="4B074480">
      <w:pPr>
        <w:pStyle w:val="6"/>
        <w:rPr>
          <w:rFonts w:hint="eastAsia" w:asciiTheme="majorEastAsia" w:hAnsiTheme="majorEastAsia" w:eastAsiaTheme="majorEastAsia" w:cstheme="majorEastAsia"/>
          <w:lang w:val="en-US" w:eastAsia="zh-CN"/>
        </w:rPr>
      </w:pPr>
    </w:p>
    <w:p w14:paraId="657FB375">
      <w:pPr>
        <w:rPr>
          <w:rFonts w:hint="eastAsia" w:asciiTheme="majorEastAsia" w:hAnsiTheme="majorEastAsia" w:eastAsiaTheme="majorEastAsia" w:cstheme="majorEastAsia"/>
          <w:color w:val="auto"/>
          <w:lang w:val="en-US" w:eastAsia="zh-CN"/>
        </w:rPr>
      </w:pPr>
    </w:p>
    <w:p w14:paraId="6B50B510">
      <w:pPr>
        <w:pStyle w:val="6"/>
        <w:rPr>
          <w:rFonts w:hint="eastAsia" w:asciiTheme="majorEastAsia" w:hAnsiTheme="majorEastAsia" w:eastAsiaTheme="majorEastAsia" w:cstheme="majorEastAsia"/>
          <w:lang w:val="en-US" w:eastAsia="zh-CN"/>
        </w:rPr>
      </w:pPr>
    </w:p>
    <w:p w14:paraId="6B29683C">
      <w:pPr>
        <w:numPr>
          <w:ilvl w:val="0"/>
          <w:numId w:val="0"/>
        </w:numPr>
        <w:rPr>
          <w:rFonts w:hint="eastAsia" w:asciiTheme="majorEastAsia" w:hAnsiTheme="majorEastAsia" w:eastAsiaTheme="majorEastAsia" w:cstheme="majorEastAsia"/>
          <w:lang w:val="en-US" w:eastAsia="zh-CN"/>
        </w:rPr>
      </w:pPr>
    </w:p>
    <w:p w14:paraId="606CC22F">
      <w:pPr>
        <w:tabs>
          <w:tab w:val="left" w:pos="1263"/>
        </w:tabs>
        <w:bidi w:val="0"/>
        <w:jc w:val="left"/>
        <w:rPr>
          <w:rFonts w:hint="eastAsia" w:asciiTheme="majorEastAsia" w:hAnsiTheme="majorEastAsia" w:eastAsiaTheme="majorEastAsia" w:cstheme="majorEastAsia"/>
          <w:b/>
          <w:bCs/>
          <w:lang w:val="en-US" w:eastAsia="zh-CN"/>
        </w:rPr>
        <w:sectPr>
          <w:pgSz w:w="11906" w:h="16838"/>
          <w:pgMar w:top="1134"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14:paraId="4A60A100">
      <w:pPr>
        <w:pStyle w:val="4"/>
        <w:numPr>
          <w:ilvl w:val="1"/>
          <w:numId w:val="0"/>
        </w:numPr>
        <w:ind w:leftChars="0"/>
        <w:rPr>
          <w:rFonts w:hint="eastAsia" w:asciiTheme="majorEastAsia" w:hAnsiTheme="majorEastAsia" w:eastAsiaTheme="majorEastAsia" w:cstheme="majorEastAsia"/>
          <w:sz w:val="28"/>
          <w:szCs w:val="28"/>
          <w:lang w:val="en-US" w:eastAsia="zh-CN"/>
        </w:rPr>
      </w:pPr>
      <w:bookmarkStart w:id="18" w:name="_Toc476727230"/>
      <w:bookmarkStart w:id="19" w:name="_Toc25835"/>
      <w:bookmarkStart w:id="20" w:name="_Toc25630"/>
      <w:bookmarkStart w:id="21" w:name="_Toc10988"/>
      <w:bookmarkStart w:id="22" w:name="_Toc6325"/>
      <w:r>
        <w:rPr>
          <w:rFonts w:hint="eastAsia" w:asciiTheme="majorEastAsia" w:hAnsiTheme="majorEastAsia" w:eastAsiaTheme="majorEastAsia" w:cstheme="majorEastAsia"/>
          <w:sz w:val="28"/>
          <w:szCs w:val="28"/>
          <w:lang w:val="en-US" w:eastAsia="zh-CN"/>
        </w:rPr>
        <w:t>1.1</w:t>
      </w:r>
      <w:bookmarkEnd w:id="18"/>
      <w:r>
        <w:rPr>
          <w:rFonts w:hint="eastAsia" w:asciiTheme="majorEastAsia" w:hAnsiTheme="majorEastAsia" w:eastAsiaTheme="majorEastAsia" w:cstheme="majorEastAsia"/>
          <w:sz w:val="28"/>
          <w:szCs w:val="28"/>
        </w:rPr>
        <w:t>企业名称、性质、地址</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组织架构</w:t>
      </w:r>
      <w:bookmarkEnd w:id="19"/>
      <w:bookmarkEnd w:id="20"/>
      <w:bookmarkEnd w:id="21"/>
      <w:bookmarkEnd w:id="22"/>
    </w:p>
    <w:p w14:paraId="3B511B9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szCs w:val="21"/>
        </w:rPr>
        <w:t>企业名称：</w:t>
      </w:r>
      <w:r>
        <w:rPr>
          <w:rFonts w:hint="eastAsia" w:asciiTheme="majorEastAsia" w:hAnsiTheme="majorEastAsia" w:eastAsiaTheme="majorEastAsia" w:cstheme="majorEastAsia"/>
          <w:bCs/>
          <w:sz w:val="21"/>
          <w:szCs w:val="21"/>
          <w:lang w:val="en-US" w:eastAsia="zh-CN"/>
        </w:rPr>
        <w:t>山东万达化工有限公司</w:t>
      </w:r>
    </w:p>
    <w:p w14:paraId="13F824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szCs w:val="21"/>
          <w:lang w:val="en-US" w:eastAsia="zh-CN"/>
        </w:rPr>
        <w:t>企业</w:t>
      </w:r>
      <w:r>
        <w:rPr>
          <w:rFonts w:hint="eastAsia" w:asciiTheme="majorEastAsia" w:hAnsiTheme="majorEastAsia" w:eastAsiaTheme="majorEastAsia" w:cstheme="majorEastAsia"/>
          <w:szCs w:val="21"/>
        </w:rPr>
        <w:t>性质</w:t>
      </w:r>
      <w:r>
        <w:rPr>
          <w:rFonts w:hint="eastAsia" w:asciiTheme="majorEastAsia" w:hAnsiTheme="majorEastAsia" w:eastAsiaTheme="majorEastAsia" w:cstheme="majorEastAsia"/>
          <w:szCs w:val="21"/>
          <w:lang w:eastAsia="zh-CN"/>
        </w:rPr>
        <w:t>：</w:t>
      </w:r>
      <w:r>
        <w:rPr>
          <w:rFonts w:hint="eastAsia" w:asciiTheme="majorEastAsia" w:hAnsiTheme="majorEastAsia" w:eastAsiaTheme="majorEastAsia" w:cstheme="majorEastAsia"/>
          <w:bCs/>
          <w:sz w:val="21"/>
          <w:szCs w:val="21"/>
          <w:lang w:val="en-US" w:eastAsia="zh-CN"/>
        </w:rPr>
        <w:t>有限公司</w:t>
      </w:r>
    </w:p>
    <w:p w14:paraId="6FD6AE6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szCs w:val="21"/>
        </w:rPr>
        <w:t>企业地址：</w:t>
      </w:r>
      <w:r>
        <w:rPr>
          <w:rFonts w:hint="eastAsia" w:asciiTheme="majorEastAsia" w:hAnsiTheme="majorEastAsia" w:eastAsiaTheme="majorEastAsia" w:cstheme="majorEastAsia"/>
          <w:bCs/>
          <w:sz w:val="21"/>
          <w:szCs w:val="21"/>
          <w:lang w:val="en-US" w:eastAsia="zh-CN"/>
        </w:rPr>
        <w:t>山东省东营市永莘路68号</w:t>
      </w:r>
    </w:p>
    <w:p w14:paraId="65A4194E">
      <w:pPr>
        <w:pStyle w:val="4"/>
        <w:numPr>
          <w:ilvl w:val="1"/>
          <w:numId w:val="0"/>
        </w:numPr>
        <w:pBdr>
          <w:top w:val="none" w:color="auto" w:sz="0" w:space="0"/>
          <w:left w:val="none" w:color="auto" w:sz="0" w:space="0"/>
          <w:bottom w:val="none" w:color="auto" w:sz="0" w:space="0"/>
          <w:right w:val="none" w:color="auto" w:sz="0" w:space="0"/>
        </w:pBdr>
        <w:shd w:val="clear"/>
        <w:ind w:leftChars="0"/>
        <w:rPr>
          <w:rFonts w:hint="eastAsia" w:asciiTheme="majorEastAsia" w:hAnsiTheme="majorEastAsia" w:eastAsiaTheme="majorEastAsia" w:cstheme="majorEastAsia"/>
          <w:sz w:val="21"/>
          <w:szCs w:val="21"/>
          <w:lang w:val="en-US" w:eastAsia="zh-CN"/>
        </w:rPr>
      </w:pPr>
      <w:bookmarkStart w:id="23" w:name="_Toc7378"/>
      <w:r>
        <w:rPr>
          <w:rFonts w:hint="eastAsia" w:asciiTheme="majorEastAsia" w:hAnsiTheme="majorEastAsia" w:eastAsiaTheme="majorEastAsia" w:cstheme="majorEastAsia"/>
          <w:sz w:val="28"/>
          <w:szCs w:val="28"/>
          <w:lang w:val="en-US" w:eastAsia="zh-CN"/>
        </w:rPr>
        <w:t>1.2企业简介</w:t>
      </w:r>
      <w:bookmarkEnd w:id="23"/>
      <w:bookmarkStart w:id="24" w:name="_Toc472"/>
      <w:bookmarkStart w:id="25" w:name="_Toc15218"/>
      <w:bookmarkStart w:id="26" w:name="_Toc11094"/>
    </w:p>
    <w:p w14:paraId="2001611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万达化工公司作为中国万达石化集团下属产业之一，属国家大型一档企业，国家火炬计划重点高新技术企业，拥有资产40多亿元，占地60多万平方米，员工1300余名。公司先后通过ISO9001、ISO14001和OHSAS18001三大体系整合认证，拥有自主经营进出口权。公司以研发和生产石油化工和精细化工产品为主导方向，涵盖ABS高胶粉、MBS塑料抗冲剂、ACR 塑料加工助剂、破乳剂、聚丙烯酰胺、二氨基二苯醚等几十种系列产品，并提供油田开采过程中的技术服务。</w:t>
      </w:r>
    </w:p>
    <w:p w14:paraId="4ADBE40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p>
    <w:p w14:paraId="64608AC2">
      <w:pPr>
        <w:pStyle w:val="4"/>
        <w:numPr>
          <w:ilvl w:val="1"/>
          <w:numId w:val="0"/>
        </w:numPr>
        <w:ind w:leftChars="0"/>
        <w:rPr>
          <w:rFonts w:hint="eastAsia" w:asciiTheme="majorEastAsia" w:hAnsiTheme="majorEastAsia" w:eastAsiaTheme="majorEastAsia" w:cstheme="majorEastAsia"/>
          <w:sz w:val="28"/>
          <w:szCs w:val="28"/>
          <w:lang w:val="en-US" w:eastAsia="zh-CN"/>
        </w:rPr>
      </w:pPr>
      <w:bookmarkStart w:id="27" w:name="_Toc1541"/>
      <w:r>
        <w:rPr>
          <w:rFonts w:hint="eastAsia" w:asciiTheme="majorEastAsia" w:hAnsiTheme="majorEastAsia" w:eastAsiaTheme="majorEastAsia" w:cstheme="majorEastAsia"/>
          <w:sz w:val="28"/>
          <w:szCs w:val="28"/>
          <w:lang w:val="en-US" w:eastAsia="zh-CN"/>
        </w:rPr>
        <w:t>1.3开展 LDAR 基本情况</w:t>
      </w:r>
      <w:bookmarkEnd w:id="24"/>
      <w:bookmarkEnd w:id="25"/>
      <w:bookmarkEnd w:id="26"/>
      <w:bookmarkEnd w:id="27"/>
    </w:p>
    <w:p w14:paraId="47D0A56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bCs/>
          <w:sz w:val="21"/>
          <w:szCs w:val="21"/>
        </w:rPr>
        <w:t>泄漏检测与修复：</w:t>
      </w:r>
      <w:r>
        <w:rPr>
          <w:rFonts w:hint="eastAsia" w:asciiTheme="majorEastAsia" w:hAnsiTheme="majorEastAsia" w:eastAsiaTheme="majorEastAsia" w:cstheme="majorEastAsia"/>
          <w:sz w:val="21"/>
          <w:szCs w:val="21"/>
        </w:rPr>
        <w:t>泄漏检测与修复是指对工业生产全过程物料泄漏进行检测与控制的系统工程。通过固定或移动式检测仪器，定量检测或检查生产装置中阀门等易产生VOCs泄漏的密封点，并在一定期限内采取有效措施修复泄漏点，从而控制物料泄漏损失，减少对环境造成的污染，简称LDAR。</w:t>
      </w:r>
    </w:p>
    <w:tbl>
      <w:tblPr>
        <w:tblStyle w:val="13"/>
        <w:tblpPr w:leftFromText="180" w:rightFromText="180" w:vertAnchor="text" w:horzAnchor="page" w:tblpX="1222" w:tblpY="359"/>
        <w:tblOverlap w:val="never"/>
        <w:tblW w:w="980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895"/>
        <w:gridCol w:w="1984"/>
        <w:gridCol w:w="1700"/>
        <w:gridCol w:w="2059"/>
      </w:tblGrid>
      <w:tr w14:paraId="3E8DF7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66" w:type="dxa"/>
            <w:tcBorders>
              <w:tl2br w:val="nil"/>
              <w:tr2bl w:val="nil"/>
            </w:tcBorders>
            <w:vAlign w:val="center"/>
          </w:tcPr>
          <w:p w14:paraId="3D4F7CA8">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序号</w:t>
            </w:r>
          </w:p>
        </w:tc>
        <w:tc>
          <w:tcPr>
            <w:tcW w:w="2895" w:type="dxa"/>
            <w:tcBorders>
              <w:tl2br w:val="nil"/>
              <w:tr2bl w:val="nil"/>
            </w:tcBorders>
            <w:vAlign w:val="center"/>
          </w:tcPr>
          <w:p w14:paraId="2E37A364">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开展LDAR时间</w:t>
            </w:r>
          </w:p>
        </w:tc>
        <w:tc>
          <w:tcPr>
            <w:tcW w:w="1984" w:type="dxa"/>
            <w:tcBorders>
              <w:tl2br w:val="nil"/>
              <w:tr2bl w:val="nil"/>
            </w:tcBorders>
            <w:vAlign w:val="center"/>
          </w:tcPr>
          <w:p w14:paraId="0372B17F">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主管部门</w:t>
            </w:r>
          </w:p>
        </w:tc>
        <w:tc>
          <w:tcPr>
            <w:tcW w:w="1700" w:type="dxa"/>
            <w:tcBorders>
              <w:tl2br w:val="nil"/>
              <w:tr2bl w:val="nil"/>
            </w:tcBorders>
            <w:vAlign w:val="center"/>
          </w:tcPr>
          <w:p w14:paraId="7A1CDEF6">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装置（套）</w:t>
            </w:r>
          </w:p>
        </w:tc>
        <w:tc>
          <w:tcPr>
            <w:tcW w:w="2059" w:type="dxa"/>
            <w:tcBorders>
              <w:tl2br w:val="nil"/>
              <w:tr2bl w:val="nil"/>
            </w:tcBorders>
            <w:vAlign w:val="center"/>
          </w:tcPr>
          <w:p w14:paraId="497A5C84">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开展方式</w:t>
            </w:r>
          </w:p>
        </w:tc>
      </w:tr>
      <w:tr w14:paraId="6F5BB7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66" w:type="dxa"/>
            <w:tcBorders>
              <w:tl2br w:val="nil"/>
              <w:tr2bl w:val="nil"/>
            </w:tcBorders>
            <w:vAlign w:val="center"/>
          </w:tcPr>
          <w:p w14:paraId="47F641F4">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w:t>
            </w:r>
          </w:p>
        </w:tc>
        <w:tc>
          <w:tcPr>
            <w:tcW w:w="2895" w:type="dxa"/>
            <w:tcBorders>
              <w:tl2br w:val="nil"/>
              <w:tr2bl w:val="nil"/>
            </w:tcBorders>
            <w:vAlign w:val="center"/>
          </w:tcPr>
          <w:p w14:paraId="10613859">
            <w:pPr>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2024年09月20日</w:t>
            </w:r>
          </w:p>
        </w:tc>
        <w:tc>
          <w:tcPr>
            <w:tcW w:w="1984" w:type="dxa"/>
            <w:tcBorders>
              <w:tl2br w:val="nil"/>
              <w:tr2bl w:val="nil"/>
            </w:tcBorders>
            <w:vAlign w:val="center"/>
          </w:tcPr>
          <w:p w14:paraId="04903661">
            <w:pPr>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安环部</w:t>
            </w:r>
          </w:p>
        </w:tc>
        <w:tc>
          <w:tcPr>
            <w:tcW w:w="1700" w:type="dxa"/>
            <w:tcBorders>
              <w:tl2br w:val="nil"/>
              <w:tr2bl w:val="nil"/>
            </w:tcBorders>
            <w:vAlign w:val="center"/>
          </w:tcPr>
          <w:p w14:paraId="30BAEB7E">
            <w:pPr>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w:t>
            </w:r>
          </w:p>
        </w:tc>
        <w:tc>
          <w:tcPr>
            <w:tcW w:w="2059" w:type="dxa"/>
            <w:tcBorders>
              <w:tl2br w:val="nil"/>
              <w:tr2bl w:val="nil"/>
            </w:tcBorders>
            <w:vAlign w:val="center"/>
          </w:tcPr>
          <w:p w14:paraId="1282571A">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第三方检测</w:t>
            </w:r>
          </w:p>
        </w:tc>
      </w:tr>
    </w:tbl>
    <w:p w14:paraId="2CCE9C59">
      <w:pPr>
        <w:spacing w:line="276" w:lineRule="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sz w:val="21"/>
          <w:szCs w:val="21"/>
          <w:lang w:bidi="en-US"/>
        </w:rPr>
        <w:t>本企业LDAR开展情况如下：</w:t>
      </w:r>
      <w:bookmarkStart w:id="28" w:name="_Toc4462"/>
      <w:bookmarkStart w:id="29" w:name="_Toc11175"/>
      <w:bookmarkStart w:id="30" w:name="_Toc6549"/>
    </w:p>
    <w:p w14:paraId="640D79DE">
      <w:pPr>
        <w:pStyle w:val="3"/>
        <w:numPr>
          <w:ilvl w:val="0"/>
          <w:numId w:val="0"/>
        </w:numPr>
        <w:ind w:leftChars="0"/>
        <w:rPr>
          <w:rFonts w:hint="eastAsia" w:asciiTheme="majorEastAsia" w:hAnsiTheme="majorEastAsia" w:eastAsiaTheme="majorEastAsia" w:cstheme="majorEastAsia"/>
          <w:color w:val="auto"/>
          <w:lang w:val="en-US"/>
        </w:rPr>
      </w:pPr>
      <w:bookmarkStart w:id="31" w:name="_Toc24361"/>
      <w:r>
        <w:rPr>
          <w:rFonts w:hint="eastAsia" w:asciiTheme="majorEastAsia" w:hAnsiTheme="majorEastAsia" w:eastAsiaTheme="majorEastAsia" w:cstheme="majorEastAsia"/>
          <w:color w:val="auto"/>
          <w:lang w:val="en-US" w:eastAsia="zh-CN"/>
        </w:rPr>
        <w:t>2.项目建立</w:t>
      </w:r>
      <w:bookmarkEnd w:id="28"/>
      <w:bookmarkEnd w:id="29"/>
      <w:bookmarkEnd w:id="30"/>
      <w:bookmarkEnd w:id="31"/>
      <w:r>
        <w:rPr>
          <w:rFonts w:hint="eastAsia" w:asciiTheme="majorEastAsia" w:hAnsiTheme="majorEastAsia" w:eastAsiaTheme="majorEastAsia" w:cstheme="majorEastAsia"/>
          <w:color w:val="auto"/>
          <w:lang w:val="en-US" w:eastAsia="zh-CN"/>
        </w:rPr>
        <w:t xml:space="preserve"> </w:t>
      </w:r>
    </w:p>
    <w:p w14:paraId="23E888C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bookmarkStart w:id="32" w:name="_Toc603"/>
      <w:bookmarkStart w:id="33" w:name="_Toc30135"/>
      <w:bookmarkStart w:id="34" w:name="_Toc15548"/>
      <w:r>
        <w:rPr>
          <w:rFonts w:hint="eastAsia" w:asciiTheme="majorEastAsia" w:hAnsiTheme="majorEastAsia" w:eastAsiaTheme="majorEastAsia" w:cstheme="majorEastAsia"/>
          <w:sz w:val="21"/>
          <w:szCs w:val="21"/>
          <w:lang w:val="en-US" w:eastAsia="zh-CN"/>
        </w:rPr>
        <w:t>项目建立阶段的工作内容包括：</w:t>
      </w:r>
    </w:p>
    <w:p w14:paraId="0D12319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 通过装置工艺分析建立用于泄漏检测的密封点台账；</w:t>
      </w:r>
    </w:p>
    <w:p w14:paraId="5435858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 在项目清单现场识别阶段内，对管线组件进行分类、编号和现场拍照、泄漏挂牌；</w:t>
      </w:r>
    </w:p>
    <w:p w14:paraId="62EC1E2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 利用泄漏检测与修复数据管理软件平台，形成规范化、电子化的设备（工艺单元）管线组件信息数据库。</w:t>
      </w:r>
    </w:p>
    <w:p w14:paraId="23E4DD60">
      <w:pPr>
        <w:pStyle w:val="4"/>
        <w:numPr>
          <w:ilvl w:val="1"/>
          <w:numId w:val="0"/>
        </w:numPr>
        <w:bidi w:val="0"/>
        <w:ind w:leftChars="0"/>
        <w:rPr>
          <w:rFonts w:hint="eastAsia" w:asciiTheme="majorEastAsia" w:hAnsiTheme="majorEastAsia" w:eastAsiaTheme="majorEastAsia" w:cstheme="majorEastAsia"/>
          <w:lang w:val="en-US" w:eastAsia="zh-CN"/>
        </w:rPr>
      </w:pPr>
      <w:bookmarkStart w:id="35" w:name="_Toc24881"/>
      <w:r>
        <w:rPr>
          <w:rFonts w:hint="eastAsia" w:asciiTheme="majorEastAsia" w:hAnsiTheme="majorEastAsia" w:eastAsiaTheme="majorEastAsia" w:cstheme="majorEastAsia"/>
          <w:lang w:val="en-US" w:eastAsia="zh-CN"/>
        </w:rPr>
        <w:t>2.1项目组筹建</w:t>
      </w:r>
      <w:bookmarkEnd w:id="32"/>
      <w:bookmarkEnd w:id="33"/>
      <w:bookmarkEnd w:id="34"/>
      <w:bookmarkEnd w:id="35"/>
    </w:p>
    <w:p w14:paraId="75A36F48">
      <w:pPr>
        <w:numPr>
          <w:ilvl w:val="0"/>
          <w:numId w:val="0"/>
        </w:numP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lang w:val="en-US" w:eastAsia="zh-CN"/>
        </w:rPr>
        <w:t>(1)</w:t>
      </w:r>
      <w:r>
        <w:rPr>
          <w:rFonts w:hint="eastAsia" w:asciiTheme="majorEastAsia" w:hAnsiTheme="majorEastAsia" w:eastAsiaTheme="majorEastAsia" w:cstheme="majorEastAsia"/>
          <w:b/>
          <w:bCs/>
          <w:sz w:val="21"/>
          <w:szCs w:val="21"/>
        </w:rPr>
        <w:t>甲方项目组人员：</w:t>
      </w:r>
    </w:p>
    <w:tbl>
      <w:tblPr>
        <w:tblStyle w:val="13"/>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386"/>
        <w:gridCol w:w="6792"/>
      </w:tblGrid>
      <w:tr w14:paraId="51215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6" w:type="dxa"/>
            <w:tcBorders>
              <w:top w:val="single" w:color="auto" w:sz="12" w:space="0"/>
              <w:left w:val="single" w:color="auto" w:sz="12" w:space="0"/>
            </w:tcBorders>
            <w:vAlign w:val="center"/>
          </w:tcPr>
          <w:p w14:paraId="111526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序号</w:t>
            </w:r>
          </w:p>
        </w:tc>
        <w:tc>
          <w:tcPr>
            <w:tcW w:w="2386" w:type="dxa"/>
            <w:tcBorders>
              <w:top w:val="single" w:color="auto" w:sz="12" w:space="0"/>
            </w:tcBorders>
            <w:vAlign w:val="center"/>
          </w:tcPr>
          <w:p w14:paraId="74426D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部门</w:t>
            </w:r>
          </w:p>
        </w:tc>
        <w:tc>
          <w:tcPr>
            <w:tcW w:w="6792" w:type="dxa"/>
            <w:tcBorders>
              <w:top w:val="single" w:color="auto" w:sz="12" w:space="0"/>
              <w:right w:val="single" w:color="auto" w:sz="12" w:space="0"/>
            </w:tcBorders>
            <w:vAlign w:val="center"/>
          </w:tcPr>
          <w:p w14:paraId="31FD5D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备注</w:t>
            </w:r>
          </w:p>
        </w:tc>
      </w:tr>
      <w:tr w14:paraId="1D1F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6" w:type="dxa"/>
            <w:tcBorders>
              <w:left w:val="single" w:color="auto" w:sz="12" w:space="0"/>
              <w:bottom w:val="single" w:color="auto" w:sz="12" w:space="0"/>
            </w:tcBorders>
            <w:vAlign w:val="center"/>
          </w:tcPr>
          <w:p w14:paraId="53312A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w:t>
            </w:r>
          </w:p>
        </w:tc>
        <w:tc>
          <w:tcPr>
            <w:tcW w:w="2386" w:type="dxa"/>
            <w:tcBorders>
              <w:bottom w:val="single" w:color="auto" w:sz="12" w:space="0"/>
            </w:tcBorders>
            <w:vAlign w:val="center"/>
          </w:tcPr>
          <w:p w14:paraId="2D979B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环保</w:t>
            </w:r>
            <w:r>
              <w:rPr>
                <w:rFonts w:hint="eastAsia" w:asciiTheme="majorEastAsia" w:hAnsiTheme="majorEastAsia" w:eastAsiaTheme="majorEastAsia" w:cstheme="majorEastAsia"/>
                <w:sz w:val="21"/>
                <w:szCs w:val="21"/>
              </w:rPr>
              <w:t>部</w:t>
            </w:r>
          </w:p>
        </w:tc>
        <w:tc>
          <w:tcPr>
            <w:tcW w:w="6792" w:type="dxa"/>
            <w:tcBorders>
              <w:bottom w:val="single" w:color="auto" w:sz="12" w:space="0"/>
              <w:right w:val="single" w:color="auto" w:sz="12" w:space="0"/>
            </w:tcBorders>
            <w:vAlign w:val="center"/>
          </w:tcPr>
          <w:p w14:paraId="523970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对项目整体负责，对甲乙双方在工作过程中，遇到的问题及时协调解决，对甲乙双方工作进行总结和监督，保证项目按计划、保质保量完工。</w:t>
            </w:r>
          </w:p>
        </w:tc>
      </w:tr>
    </w:tbl>
    <w:p w14:paraId="31CC01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b/>
          <w:bCs/>
          <w:sz w:val="21"/>
          <w:szCs w:val="21"/>
          <w:lang w:val="en-US" w:eastAsia="zh-CN"/>
        </w:rPr>
      </w:pPr>
    </w:p>
    <w:p w14:paraId="4473E3A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lang w:val="en-US" w:eastAsia="zh-CN"/>
        </w:rPr>
        <w:t>(2)</w:t>
      </w:r>
      <w:r>
        <w:rPr>
          <w:rFonts w:hint="eastAsia" w:asciiTheme="majorEastAsia" w:hAnsiTheme="majorEastAsia" w:eastAsiaTheme="majorEastAsia" w:cstheme="majorEastAsia"/>
          <w:b/>
          <w:bCs/>
          <w:sz w:val="21"/>
          <w:szCs w:val="21"/>
        </w:rPr>
        <w:t>乙方项目组人员：</w:t>
      </w:r>
    </w:p>
    <w:tbl>
      <w:tblPr>
        <w:tblStyle w:val="13"/>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131"/>
        <w:gridCol w:w="1275"/>
        <w:gridCol w:w="6770"/>
      </w:tblGrid>
      <w:tr w14:paraId="630546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14:paraId="4F7983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序号</w:t>
            </w:r>
          </w:p>
        </w:tc>
        <w:tc>
          <w:tcPr>
            <w:tcW w:w="1131" w:type="dxa"/>
            <w:tcBorders>
              <w:tl2br w:val="nil"/>
              <w:tr2bl w:val="nil"/>
            </w:tcBorders>
            <w:vAlign w:val="center"/>
          </w:tcPr>
          <w:p w14:paraId="2404ED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人员</w:t>
            </w:r>
          </w:p>
        </w:tc>
        <w:tc>
          <w:tcPr>
            <w:tcW w:w="1275" w:type="dxa"/>
            <w:tcBorders>
              <w:tl2br w:val="nil"/>
              <w:tr2bl w:val="nil"/>
            </w:tcBorders>
            <w:vAlign w:val="center"/>
          </w:tcPr>
          <w:p w14:paraId="44646E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角色</w:t>
            </w:r>
          </w:p>
        </w:tc>
        <w:tc>
          <w:tcPr>
            <w:tcW w:w="6770" w:type="dxa"/>
            <w:tcBorders>
              <w:tl2br w:val="nil"/>
              <w:tr2bl w:val="nil"/>
            </w:tcBorders>
            <w:vAlign w:val="center"/>
          </w:tcPr>
          <w:p w14:paraId="499121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备注</w:t>
            </w:r>
          </w:p>
        </w:tc>
      </w:tr>
      <w:tr w14:paraId="5542C6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14:paraId="0A3CBB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w:t>
            </w:r>
          </w:p>
        </w:tc>
        <w:tc>
          <w:tcPr>
            <w:tcW w:w="1131" w:type="dxa"/>
            <w:tcBorders>
              <w:tl2br w:val="nil"/>
              <w:tr2bl w:val="nil"/>
            </w:tcBorders>
            <w:vAlign w:val="center"/>
          </w:tcPr>
          <w:p w14:paraId="41BB06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李浩男</w:t>
            </w:r>
          </w:p>
        </w:tc>
        <w:tc>
          <w:tcPr>
            <w:tcW w:w="1275" w:type="dxa"/>
            <w:tcBorders>
              <w:tl2br w:val="nil"/>
              <w:tr2bl w:val="nil"/>
            </w:tcBorders>
            <w:vAlign w:val="center"/>
          </w:tcPr>
          <w:p w14:paraId="3782C8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检测工程师</w:t>
            </w:r>
          </w:p>
        </w:tc>
        <w:tc>
          <w:tcPr>
            <w:tcW w:w="6770" w:type="dxa"/>
            <w:tcBorders>
              <w:tl2br w:val="nil"/>
              <w:tr2bl w:val="nil"/>
            </w:tcBorders>
            <w:vAlign w:val="center"/>
          </w:tcPr>
          <w:p w14:paraId="42E3DE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auto"/>
                <w:sz w:val="21"/>
                <w:szCs w:val="21"/>
              </w:rPr>
              <w:t>负责密封点建档、现场检测工作，协调客户单位及部门关于LDAR检测的相关工作、负责LDAR检测全面的技术</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rPr>
              <w:t>现场安全监督</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lang w:val="en-US" w:eastAsia="zh-CN"/>
              </w:rPr>
              <w:t>数据分析及报告编制</w:t>
            </w:r>
            <w:r>
              <w:rPr>
                <w:rFonts w:hint="eastAsia" w:asciiTheme="majorEastAsia" w:hAnsiTheme="majorEastAsia" w:eastAsiaTheme="majorEastAsia" w:cstheme="majorEastAsia"/>
                <w:color w:val="auto"/>
                <w:sz w:val="21"/>
                <w:szCs w:val="21"/>
              </w:rPr>
              <w:t>。</w:t>
            </w:r>
          </w:p>
        </w:tc>
      </w:tr>
      <w:tr w14:paraId="1F2F53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14:paraId="7FE34E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w:t>
            </w:r>
          </w:p>
        </w:tc>
        <w:tc>
          <w:tcPr>
            <w:tcW w:w="1131" w:type="dxa"/>
            <w:tcBorders>
              <w:tl2br w:val="nil"/>
              <w:tr2bl w:val="nil"/>
            </w:tcBorders>
            <w:vAlign w:val="center"/>
          </w:tcPr>
          <w:p w14:paraId="2D8DAC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饶子洋</w:t>
            </w:r>
          </w:p>
        </w:tc>
        <w:tc>
          <w:tcPr>
            <w:tcW w:w="1275" w:type="dxa"/>
            <w:tcBorders>
              <w:tl2br w:val="nil"/>
              <w:tr2bl w:val="nil"/>
            </w:tcBorders>
            <w:vAlign w:val="center"/>
          </w:tcPr>
          <w:p w14:paraId="2E4FF4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检测工程师</w:t>
            </w:r>
          </w:p>
        </w:tc>
        <w:tc>
          <w:tcPr>
            <w:tcW w:w="6770" w:type="dxa"/>
            <w:tcBorders>
              <w:tl2br w:val="nil"/>
              <w:tr2bl w:val="nil"/>
            </w:tcBorders>
            <w:vAlign w:val="center"/>
          </w:tcPr>
          <w:p w14:paraId="0EF0CA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负责密封点建档、现场检测工作</w:t>
            </w:r>
            <w:r>
              <w:rPr>
                <w:rFonts w:hint="eastAsia" w:asciiTheme="majorEastAsia" w:hAnsiTheme="majorEastAsia" w:eastAsiaTheme="majorEastAsia" w:cstheme="majorEastAsia"/>
                <w:sz w:val="21"/>
                <w:szCs w:val="21"/>
                <w:lang w:eastAsia="zh-CN"/>
              </w:rPr>
              <w:t>。</w:t>
            </w:r>
          </w:p>
        </w:tc>
      </w:tr>
      <w:tr w14:paraId="2C36DC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14:paraId="4785B2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w:t>
            </w:r>
          </w:p>
        </w:tc>
        <w:tc>
          <w:tcPr>
            <w:tcW w:w="1131" w:type="dxa"/>
            <w:tcBorders>
              <w:tl2br w:val="nil"/>
              <w:tr2bl w:val="nil"/>
            </w:tcBorders>
            <w:vAlign w:val="center"/>
          </w:tcPr>
          <w:p w14:paraId="0CAE2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许明星</w:t>
            </w:r>
          </w:p>
        </w:tc>
        <w:tc>
          <w:tcPr>
            <w:tcW w:w="1275" w:type="dxa"/>
            <w:tcBorders>
              <w:tl2br w:val="nil"/>
              <w:tr2bl w:val="nil"/>
            </w:tcBorders>
            <w:vAlign w:val="center"/>
          </w:tcPr>
          <w:p w14:paraId="16B4E1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检测工程师</w:t>
            </w:r>
          </w:p>
        </w:tc>
        <w:tc>
          <w:tcPr>
            <w:tcW w:w="6770" w:type="dxa"/>
            <w:tcBorders>
              <w:tl2br w:val="nil"/>
              <w:tr2bl w:val="nil"/>
            </w:tcBorders>
            <w:vAlign w:val="center"/>
          </w:tcPr>
          <w:p w14:paraId="6D82F0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负责密封点建档、现场检测工作</w:t>
            </w:r>
            <w:r>
              <w:rPr>
                <w:rFonts w:hint="eastAsia" w:asciiTheme="majorEastAsia" w:hAnsiTheme="majorEastAsia" w:eastAsiaTheme="majorEastAsia" w:cstheme="majorEastAsia"/>
                <w:sz w:val="21"/>
                <w:szCs w:val="21"/>
                <w:lang w:eastAsia="zh-CN"/>
              </w:rPr>
              <w:t>。</w:t>
            </w:r>
          </w:p>
        </w:tc>
      </w:tr>
      <w:tr w14:paraId="72C243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14:paraId="3F67C2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w:t>
            </w:r>
          </w:p>
        </w:tc>
        <w:tc>
          <w:tcPr>
            <w:tcW w:w="1131" w:type="dxa"/>
            <w:tcBorders>
              <w:tl2br w:val="nil"/>
              <w:tr2bl w:val="nil"/>
            </w:tcBorders>
            <w:vAlign w:val="center"/>
          </w:tcPr>
          <w:p w14:paraId="38CC2B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燕政飞</w:t>
            </w:r>
          </w:p>
        </w:tc>
        <w:tc>
          <w:tcPr>
            <w:tcW w:w="1275" w:type="dxa"/>
            <w:tcBorders>
              <w:tl2br w:val="nil"/>
              <w:tr2bl w:val="nil"/>
            </w:tcBorders>
            <w:shd w:val="clear" w:color="auto" w:fill="auto"/>
            <w:vAlign w:val="center"/>
          </w:tcPr>
          <w:p w14:paraId="5DCAF9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val="en-US" w:eastAsia="zh-CN" w:bidi="ar-SA"/>
              </w:rPr>
            </w:pPr>
            <w:r>
              <w:rPr>
                <w:rFonts w:hint="eastAsia" w:asciiTheme="majorEastAsia" w:hAnsiTheme="majorEastAsia" w:eastAsiaTheme="majorEastAsia" w:cstheme="majorEastAsia"/>
                <w:sz w:val="21"/>
                <w:szCs w:val="21"/>
              </w:rPr>
              <w:t>检测工程师</w:t>
            </w:r>
          </w:p>
        </w:tc>
        <w:tc>
          <w:tcPr>
            <w:tcW w:w="6770" w:type="dxa"/>
            <w:tcBorders>
              <w:tl2br w:val="nil"/>
              <w:tr2bl w:val="nil"/>
            </w:tcBorders>
            <w:shd w:val="clear" w:color="auto" w:fill="auto"/>
            <w:vAlign w:val="center"/>
          </w:tcPr>
          <w:p w14:paraId="72F6F0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val="en-US" w:eastAsia="zh-CN" w:bidi="ar-SA"/>
              </w:rPr>
            </w:pPr>
            <w:r>
              <w:rPr>
                <w:rFonts w:hint="eastAsia" w:asciiTheme="majorEastAsia" w:hAnsiTheme="majorEastAsia" w:eastAsiaTheme="majorEastAsia" w:cstheme="majorEastAsia"/>
                <w:sz w:val="21"/>
                <w:szCs w:val="21"/>
              </w:rPr>
              <w:t>负责密封点建档、现场检测工作</w:t>
            </w:r>
            <w:r>
              <w:rPr>
                <w:rFonts w:hint="eastAsia" w:asciiTheme="majorEastAsia" w:hAnsiTheme="majorEastAsia" w:eastAsiaTheme="majorEastAsia" w:cstheme="majorEastAsia"/>
                <w:sz w:val="21"/>
                <w:szCs w:val="21"/>
                <w:lang w:eastAsia="zh-CN"/>
              </w:rPr>
              <w:t>。</w:t>
            </w:r>
          </w:p>
        </w:tc>
      </w:tr>
    </w:tbl>
    <w:p w14:paraId="3B591C5F">
      <w:pPr>
        <w:rPr>
          <w:rFonts w:hint="eastAsia" w:asciiTheme="majorEastAsia" w:hAnsiTheme="majorEastAsia" w:eastAsiaTheme="majorEastAsia" w:cstheme="majorEastAsia"/>
          <w:sz w:val="21"/>
          <w:szCs w:val="21"/>
          <w:lang w:val="en-US" w:eastAsia="zh-CN" w:bidi="en-US"/>
        </w:rPr>
      </w:pPr>
    </w:p>
    <w:p w14:paraId="027AE56D">
      <w:pPr>
        <w:rPr>
          <w:rFonts w:hint="eastAsia" w:asciiTheme="majorEastAsia" w:hAnsiTheme="majorEastAsia" w:eastAsiaTheme="majorEastAsia" w:cstheme="majorEastAsia"/>
          <w:b/>
          <w:bCs/>
          <w:sz w:val="21"/>
          <w:szCs w:val="21"/>
          <w:lang w:val="en-US" w:eastAsia="zh-CN"/>
        </w:rPr>
      </w:pPr>
      <w:r>
        <w:rPr>
          <w:rFonts w:hint="eastAsia" w:asciiTheme="majorEastAsia" w:hAnsiTheme="majorEastAsia" w:eastAsiaTheme="majorEastAsia" w:cstheme="majorEastAsia"/>
          <w:b/>
          <w:bCs/>
          <w:sz w:val="21"/>
          <w:szCs w:val="21"/>
          <w:lang w:val="en-US" w:eastAsia="zh-CN"/>
        </w:rPr>
        <w:t>(3) 山东万达化工有限公司LDAR实施计划：</w:t>
      </w:r>
    </w:p>
    <w:tbl>
      <w:tblPr>
        <w:tblStyle w:val="1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6299"/>
        <w:gridCol w:w="1795"/>
      </w:tblGrid>
      <w:tr w14:paraId="5C0570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restart"/>
            <w:tcBorders>
              <w:tl2br w:val="nil"/>
              <w:tr2bl w:val="nil"/>
            </w:tcBorders>
            <w:vAlign w:val="center"/>
          </w:tcPr>
          <w:p w14:paraId="3F3038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项目实施</w:t>
            </w:r>
          </w:p>
        </w:tc>
        <w:tc>
          <w:tcPr>
            <w:tcW w:w="3196" w:type="pct"/>
            <w:tcBorders>
              <w:tl2br w:val="nil"/>
              <w:tr2bl w:val="nil"/>
            </w:tcBorders>
            <w:vAlign w:val="center"/>
          </w:tcPr>
          <w:p w14:paraId="31CFB4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工作内容</w:t>
            </w:r>
          </w:p>
        </w:tc>
        <w:tc>
          <w:tcPr>
            <w:tcW w:w="911" w:type="pct"/>
            <w:tcBorders>
              <w:tl2br w:val="nil"/>
              <w:tr2bl w:val="nil"/>
            </w:tcBorders>
            <w:vAlign w:val="center"/>
          </w:tcPr>
          <w:p w14:paraId="036B58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工作组</w:t>
            </w:r>
          </w:p>
        </w:tc>
      </w:tr>
      <w:tr w14:paraId="30054B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14:paraId="0E710B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14:paraId="565DEA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收集基础资料，熟悉工艺流程、PID图、收集密封点基础数据，并在现场对开展LDAR的装置进行基础信息确认、拍照</w:t>
            </w:r>
            <w:r>
              <w:rPr>
                <w:rFonts w:hint="eastAsia" w:asciiTheme="majorEastAsia" w:hAnsiTheme="majorEastAsia" w:eastAsiaTheme="majorEastAsia" w:cstheme="majorEastAsia"/>
                <w:sz w:val="21"/>
                <w:szCs w:val="21"/>
                <w:lang w:eastAsia="zh-CN"/>
              </w:rPr>
              <w:t>。</w:t>
            </w:r>
          </w:p>
        </w:tc>
        <w:tc>
          <w:tcPr>
            <w:tcW w:w="911" w:type="pct"/>
            <w:tcBorders>
              <w:tl2br w:val="nil"/>
              <w:tr2bl w:val="nil"/>
            </w:tcBorders>
            <w:vAlign w:val="center"/>
          </w:tcPr>
          <w:p w14:paraId="382C7A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李浩男、饶子洋、许明星、燕政飞</w:t>
            </w:r>
          </w:p>
        </w:tc>
      </w:tr>
      <w:tr w14:paraId="61464D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14:paraId="7E7AA0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14:paraId="7C789B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制定检测计划，分派工单，在现场对各装置进行VOCs泄漏检测，记录检测数据，对泄漏点进行挂牌。</w:t>
            </w:r>
          </w:p>
        </w:tc>
        <w:tc>
          <w:tcPr>
            <w:tcW w:w="911" w:type="pct"/>
            <w:tcBorders>
              <w:tl2br w:val="nil"/>
              <w:tr2bl w:val="nil"/>
            </w:tcBorders>
            <w:vAlign w:val="center"/>
          </w:tcPr>
          <w:p w14:paraId="590FF4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李浩男、饶子洋、许明星、燕政飞</w:t>
            </w:r>
          </w:p>
        </w:tc>
      </w:tr>
      <w:tr w14:paraId="1EB842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14:paraId="299B30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14:paraId="67054B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对检测数据统一进行归档整理，上传VOCs管控平台</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 xml:space="preserve"> </w:t>
            </w:r>
          </w:p>
        </w:tc>
        <w:tc>
          <w:tcPr>
            <w:tcW w:w="911" w:type="pct"/>
            <w:tcBorders>
              <w:tl2br w:val="nil"/>
              <w:tr2bl w:val="nil"/>
            </w:tcBorders>
            <w:vAlign w:val="center"/>
          </w:tcPr>
          <w:p w14:paraId="5C1AA1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李浩男</w:t>
            </w:r>
          </w:p>
        </w:tc>
      </w:tr>
      <w:tr w14:paraId="266D92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14:paraId="715809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14:paraId="23CEAE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对修复的泄漏点，进行复检</w:t>
            </w:r>
            <w:r>
              <w:rPr>
                <w:rFonts w:hint="eastAsia" w:asciiTheme="majorEastAsia" w:hAnsiTheme="majorEastAsia" w:eastAsiaTheme="majorEastAsia" w:cstheme="majorEastAsia"/>
                <w:sz w:val="21"/>
                <w:szCs w:val="21"/>
                <w:lang w:eastAsia="zh-CN"/>
              </w:rPr>
              <w:t>。</w:t>
            </w:r>
          </w:p>
        </w:tc>
        <w:tc>
          <w:tcPr>
            <w:tcW w:w="911" w:type="pct"/>
            <w:tcBorders>
              <w:tl2br w:val="nil"/>
              <w:tr2bl w:val="nil"/>
            </w:tcBorders>
            <w:vAlign w:val="center"/>
          </w:tcPr>
          <w:p w14:paraId="49A7C4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李浩男、饶子洋、许明星、燕政飞</w:t>
            </w:r>
          </w:p>
        </w:tc>
      </w:tr>
      <w:tr w14:paraId="0D0E14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14:paraId="6E8142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14:paraId="46F2CF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对复检数据进行分析统计，编写《LDAR报告》</w:t>
            </w:r>
            <w:r>
              <w:rPr>
                <w:rFonts w:hint="eastAsia" w:asciiTheme="majorEastAsia" w:hAnsiTheme="majorEastAsia" w:eastAsiaTheme="majorEastAsia" w:cstheme="majorEastAsia"/>
                <w:sz w:val="21"/>
                <w:szCs w:val="21"/>
                <w:lang w:eastAsia="zh-CN"/>
              </w:rPr>
              <w:t>。</w:t>
            </w:r>
          </w:p>
        </w:tc>
        <w:tc>
          <w:tcPr>
            <w:tcW w:w="911" w:type="pct"/>
            <w:tcBorders>
              <w:tl2br w:val="nil"/>
              <w:tr2bl w:val="nil"/>
            </w:tcBorders>
            <w:vAlign w:val="center"/>
          </w:tcPr>
          <w:p w14:paraId="7A7B62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李浩男、饶子洋、许明星、燕政飞</w:t>
            </w:r>
          </w:p>
        </w:tc>
      </w:tr>
    </w:tbl>
    <w:p w14:paraId="2C7094AB">
      <w:pPr>
        <w:pStyle w:val="4"/>
        <w:numPr>
          <w:ilvl w:val="1"/>
          <w:numId w:val="0"/>
        </w:numPr>
        <w:bidi w:val="0"/>
        <w:ind w:leftChars="0"/>
        <w:rPr>
          <w:rFonts w:hint="eastAsia" w:asciiTheme="majorEastAsia" w:hAnsiTheme="majorEastAsia" w:eastAsiaTheme="majorEastAsia" w:cstheme="majorEastAsia"/>
          <w:lang w:val="en-US" w:eastAsia="zh-CN"/>
        </w:rPr>
      </w:pPr>
      <w:bookmarkStart w:id="36" w:name="_Toc417"/>
      <w:bookmarkStart w:id="37" w:name="_Toc13645"/>
      <w:bookmarkStart w:id="38" w:name="_Toc10338"/>
      <w:bookmarkStart w:id="39" w:name="_Toc476727239"/>
    </w:p>
    <w:p w14:paraId="3F5443C2">
      <w:pPr>
        <w:pStyle w:val="4"/>
        <w:numPr>
          <w:ilvl w:val="1"/>
          <w:numId w:val="0"/>
        </w:numPr>
        <w:bidi w:val="0"/>
        <w:ind w:leftChars="0"/>
        <w:rPr>
          <w:rFonts w:hint="eastAsia" w:asciiTheme="majorEastAsia" w:hAnsiTheme="majorEastAsia" w:eastAsiaTheme="majorEastAsia" w:cstheme="majorEastAsia"/>
          <w:lang w:val="en-US" w:eastAsia="zh-CN"/>
        </w:rPr>
      </w:pPr>
      <w:bookmarkStart w:id="40" w:name="_Toc4017"/>
      <w:r>
        <w:rPr>
          <w:rFonts w:hint="eastAsia" w:asciiTheme="majorEastAsia" w:hAnsiTheme="majorEastAsia" w:eastAsiaTheme="majorEastAsia" w:cstheme="majorEastAsia"/>
          <w:lang w:val="en-US" w:eastAsia="zh-CN"/>
        </w:rPr>
        <w:t>2.2密封点建档</w:t>
      </w:r>
      <w:bookmarkEnd w:id="36"/>
      <w:bookmarkEnd w:id="37"/>
      <w:bookmarkEnd w:id="38"/>
      <w:bookmarkEnd w:id="40"/>
    </w:p>
    <w:p w14:paraId="4C88160E">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rPr>
          <w:rFonts w:hint="eastAsia" w:asciiTheme="majorEastAsia" w:hAnsiTheme="majorEastAsia" w:eastAsiaTheme="majorEastAsia" w:cstheme="majorEastAsia"/>
          <w:sz w:val="21"/>
          <w:szCs w:val="21"/>
        </w:rPr>
      </w:pPr>
      <w:bookmarkStart w:id="41" w:name="_Toc17243"/>
      <w:bookmarkStart w:id="42" w:name="_Toc8306"/>
      <w:bookmarkStart w:id="43" w:name="_Toc26954"/>
      <w:r>
        <w:rPr>
          <w:rFonts w:hint="eastAsia" w:asciiTheme="majorEastAsia" w:hAnsiTheme="majorEastAsia" w:eastAsiaTheme="majorEastAsia" w:cstheme="majorEastAsia"/>
          <w:sz w:val="21"/>
          <w:szCs w:val="21"/>
        </w:rPr>
        <w:t>根据LDAR工作程序，首先进行密封点的识别与编号。密封点识别须对待检测装置所有的组件进行编号，编号数据必须保证密封点的唯一性。在对密封点现场识别的过程中，要根据收集的资料，及在厂区工作人员的帮助下剔除免检管道和组件，如非VOCs管道、非指定类型组件等，具体的密封点识别及编号工作流程如下：</w:t>
      </w:r>
    </w:p>
    <w:p w14:paraId="7F7E1C71">
      <w:pPr>
        <w:pStyle w:val="6"/>
        <w:rPr>
          <w:rFonts w:hint="eastAsia" w:asciiTheme="majorEastAsia" w:hAnsiTheme="majorEastAsia" w:eastAsiaTheme="majorEastAsia" w:cstheme="majorEastAsia"/>
          <w:sz w:val="21"/>
          <w:szCs w:val="21"/>
        </w:rPr>
      </w:pPr>
    </w:p>
    <w:p w14:paraId="6BF1BCCC">
      <w:pPr>
        <w:spacing w:line="276" w:lineRule="auto"/>
        <w:ind w:left="420"/>
        <w:jc w:val="center"/>
        <w:outlineLvl w:val="0"/>
        <w:rPr>
          <w:rFonts w:hint="eastAsia" w:asciiTheme="majorEastAsia" w:hAnsiTheme="majorEastAsia" w:eastAsiaTheme="majorEastAsia" w:cstheme="majorEastAsia"/>
          <w:b/>
          <w:bCs w:val="0"/>
          <w:sz w:val="21"/>
          <w:szCs w:val="21"/>
        </w:rPr>
      </w:pPr>
      <w:bookmarkStart w:id="44" w:name="_Toc3992"/>
      <w:r>
        <w:rPr>
          <w:rFonts w:hint="eastAsia" w:asciiTheme="majorEastAsia" w:hAnsiTheme="majorEastAsia" w:eastAsiaTheme="majorEastAsia" w:cstheme="majorEastAsia"/>
          <w:b/>
          <w:bCs w:val="0"/>
          <w:sz w:val="21"/>
          <w:szCs w:val="21"/>
        </w:rPr>
        <w:t>检测密封点识别及编号流程</w:t>
      </w:r>
      <w:bookmarkEnd w:id="41"/>
      <w:bookmarkEnd w:id="42"/>
      <w:bookmarkEnd w:id="43"/>
      <w:bookmarkEnd w:id="44"/>
    </w:p>
    <w:p w14:paraId="2297A279">
      <w:pPr>
        <w:spacing w:line="276" w:lineRule="auto"/>
        <w:ind w:left="42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drawing>
          <wp:inline distT="0" distB="0" distL="0" distR="0">
            <wp:extent cx="5376545" cy="3105150"/>
            <wp:effectExtent l="0" t="0" r="14605"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5" cstate="print"/>
                    <a:stretch>
                      <a:fillRect/>
                    </a:stretch>
                  </pic:blipFill>
                  <pic:spPr>
                    <a:xfrm>
                      <a:off x="0" y="0"/>
                      <a:ext cx="5376545" cy="3105150"/>
                    </a:xfrm>
                    <a:prstGeom prst="rect">
                      <a:avLst/>
                    </a:prstGeom>
                  </pic:spPr>
                </pic:pic>
              </a:graphicData>
            </a:graphic>
          </wp:inline>
        </w:drawing>
      </w:r>
    </w:p>
    <w:p w14:paraId="10DE089A">
      <w:pPr>
        <w:pStyle w:val="18"/>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Theme="majorEastAsia" w:hAnsiTheme="majorEastAsia" w:eastAsiaTheme="majorEastAsia" w:cstheme="majorEastAsia"/>
          <w:sz w:val="21"/>
          <w:szCs w:val="21"/>
        </w:rPr>
      </w:pPr>
      <w:bookmarkStart w:id="45" w:name="_Toc10566"/>
      <w:bookmarkStart w:id="46" w:name="_Toc28271"/>
      <w:bookmarkStart w:id="47" w:name="_Toc15082"/>
    </w:p>
    <w:p w14:paraId="61F9DD83">
      <w:pPr>
        <w:pStyle w:val="18"/>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1.熟悉厂区环境 ，划分装置区域。</w:t>
      </w:r>
      <w:bookmarkEnd w:id="45"/>
      <w:bookmarkEnd w:id="46"/>
      <w:bookmarkEnd w:id="47"/>
    </w:p>
    <w:p w14:paraId="086FB4F9">
      <w:pPr>
        <w:pStyle w:val="18"/>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2.根据企业提供的厂区PID图确认物料流程和管线；对装置密封点进行基础信息的收集。</w:t>
      </w:r>
    </w:p>
    <w:p w14:paraId="7BDCA4DD">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3.对采集到的密封点进行编号：识别与定位上述流程和管线上的设备和管阀件，根据现场资料、化工工艺和管线介质剔除不需要检测的组件。</w:t>
      </w:r>
    </w:p>
    <w:p w14:paraId="6317761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4.根据泄漏检测与修复管理平台要求，将编号信息输入数据库，建立基础数据台账。</w:t>
      </w:r>
    </w:p>
    <w:p w14:paraId="7AB60BF9">
      <w:pPr>
        <w:pStyle w:val="4"/>
        <w:numPr>
          <w:ilvl w:val="1"/>
          <w:numId w:val="0"/>
        </w:numPr>
        <w:bidi w:val="0"/>
        <w:ind w:leftChars="0"/>
        <w:rPr>
          <w:rFonts w:hint="eastAsia" w:asciiTheme="majorEastAsia" w:hAnsiTheme="majorEastAsia" w:eastAsiaTheme="majorEastAsia" w:cstheme="majorEastAsia"/>
          <w:lang w:val="en-US" w:eastAsia="zh-CN"/>
        </w:rPr>
      </w:pPr>
      <w:bookmarkStart w:id="48" w:name="_Toc12830"/>
      <w:r>
        <w:rPr>
          <w:rFonts w:hint="eastAsia" w:asciiTheme="majorEastAsia" w:hAnsiTheme="majorEastAsia" w:eastAsiaTheme="majorEastAsia" w:cstheme="majorEastAsia"/>
          <w:lang w:val="en-US" w:eastAsia="zh-CN"/>
        </w:rPr>
        <w:t>2.3装置适合性分析</w:t>
      </w:r>
      <w:bookmarkEnd w:id="48"/>
    </w:p>
    <w:p w14:paraId="134AAF3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装置工艺分析的主要目的是初步确定 LDAR 项目的应用范围，基本方法是依据工艺管线纳入 LDAR 应用范围的判定原则，对各种工艺单元和设备管线及其物料进行审核和评估，LDAR项目组确定了装置满足“LDAR 适用范围的判定原则”的管线后，将轻液、气体/蒸汽、重液状态下的挥发性有机物列入 LDAR 范围。LDAR适用范围的判定原则：</w:t>
      </w:r>
    </w:p>
    <w:p w14:paraId="13FDE3C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本项目 LDAR 范围确定基础依据为环保部出台的</w:t>
      </w:r>
      <w:r>
        <w:rPr>
          <w:rFonts w:hint="eastAsia" w:asciiTheme="majorEastAsia" w:hAnsiTheme="majorEastAsia" w:eastAsiaTheme="majorEastAsia" w:cstheme="majorEastAsia"/>
          <w:sz w:val="21"/>
          <w:szCs w:val="21"/>
          <w:lang w:val="en-US" w:eastAsia="zh-CN"/>
        </w:rPr>
        <w:t>《工业企业挥发性有机物泄漏检测与修复技术指南》（HJ 1230—2021）</w:t>
      </w:r>
    </w:p>
    <w:p w14:paraId="27A0FE1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 挥发性有机化合物，VOCs 定义：参与大气光化学反应的有机化合物，或者根据规定的方法测量或核算确定的有机化合物。</w:t>
      </w:r>
    </w:p>
    <w:p w14:paraId="323C46B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 涉 VOCs 物料：VOCs 质量分数大于或等于 10%的物料，主要包括有机气体、挥发性有机液体和重液体。</w:t>
      </w:r>
    </w:p>
    <w:p w14:paraId="1B026D8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 有机气体：在工艺条件下，呈气态的含 VOCs 物料，简称气体。</w:t>
      </w:r>
    </w:p>
    <w:p w14:paraId="78A7078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 挥发性有机液体（轻液体）：</w:t>
      </w:r>
    </w:p>
    <w:p w14:paraId="44ED81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任何能向大气释放挥发性有机物的符合以下条件之一的有机液体：</w:t>
      </w:r>
    </w:p>
    <w:p w14:paraId="53145F2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a) 20℃时，有机液体的真实蒸汽压大于 0.3kPa；</w:t>
      </w:r>
    </w:p>
    <w:p w14:paraId="7E1DA9D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b) 20℃时，混合物中，真实蒸汽压大于 0.3kPa 的纯有机化合物的总浓度等于或者高于 20%（质量分数）。</w:t>
      </w:r>
    </w:p>
    <w:p w14:paraId="08A269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 重质液：除有机气体和挥发性有机液体以外的涉 VOCs 物料。</w:t>
      </w:r>
    </w:p>
    <w:p w14:paraId="71C243FC">
      <w:pPr>
        <w:pStyle w:val="6"/>
        <w:rPr>
          <w:rFonts w:hint="eastAsia" w:asciiTheme="majorEastAsia" w:hAnsiTheme="majorEastAsia" w:eastAsiaTheme="majorEastAsia" w:cstheme="majorEastAsia"/>
        </w:rPr>
      </w:pPr>
    </w:p>
    <w:p w14:paraId="5DD480D5">
      <w:pPr>
        <w:pStyle w:val="6"/>
        <w:rPr>
          <w:rFonts w:hint="eastAsia" w:asciiTheme="majorEastAsia" w:hAnsiTheme="majorEastAsia" w:eastAsiaTheme="majorEastAsia" w:cstheme="majorEastAsia"/>
        </w:rPr>
      </w:pPr>
    </w:p>
    <w:p w14:paraId="685E7392">
      <w:pPr>
        <w:pStyle w:val="4"/>
        <w:numPr>
          <w:ilvl w:val="1"/>
          <w:numId w:val="0"/>
        </w:numPr>
        <w:bidi w:val="0"/>
        <w:ind w:leftChars="0"/>
        <w:rPr>
          <w:rFonts w:hint="eastAsia" w:asciiTheme="majorEastAsia" w:hAnsiTheme="majorEastAsia" w:eastAsiaTheme="majorEastAsia" w:cstheme="majorEastAsia"/>
          <w:lang w:val="en-US" w:eastAsia="zh-CN"/>
        </w:rPr>
      </w:pPr>
      <w:bookmarkStart w:id="49" w:name="_Toc22150"/>
      <w:r>
        <w:rPr>
          <w:rFonts w:hint="eastAsia" w:asciiTheme="majorEastAsia" w:hAnsiTheme="majorEastAsia" w:eastAsiaTheme="majorEastAsia" w:cstheme="majorEastAsia"/>
          <w:lang w:val="en-US" w:eastAsia="zh-CN"/>
        </w:rPr>
        <w:t>2.4物料状态分析表</w:t>
      </w:r>
      <w:bookmarkEnd w:id="49"/>
    </w:p>
    <w:tbl>
      <w:tblPr>
        <w:tblStyle w:val="13"/>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15" w:type="dxa"/>
          <w:left w:w="15" w:type="dxa"/>
          <w:bottom w:w="15" w:type="dxa"/>
          <w:right w:w="15" w:type="dxa"/>
        </w:tblCellMar>
      </w:tblPr>
      <w:tblGrid>
        <w:gridCol w:w="703"/>
        <w:gridCol w:w="1275"/>
        <w:gridCol w:w="1012"/>
        <w:gridCol w:w="1150"/>
        <w:gridCol w:w="4923"/>
        <w:gridCol w:w="605"/>
      </w:tblGrid>
      <w:tr w14:paraId="64B544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24" w:hRule="atLeast"/>
        </w:trPr>
        <w:tc>
          <w:tcPr>
            <w:tcW w:w="9668" w:type="dxa"/>
            <w:gridSpan w:val="6"/>
            <w:tcBorders>
              <w:tl2br w:val="nil"/>
              <w:tr2bl w:val="nil"/>
            </w:tcBorders>
            <w:noWrap w:val="0"/>
            <w:vAlign w:val="center"/>
          </w:tcPr>
          <w:p w14:paraId="65F755E9">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物料状态分析表</w:t>
            </w:r>
          </w:p>
        </w:tc>
      </w:tr>
      <w:tr w14:paraId="13918D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830" w:hRule="atLeast"/>
        </w:trPr>
        <w:tc>
          <w:tcPr>
            <w:tcW w:w="703" w:type="dxa"/>
            <w:tcBorders>
              <w:tl2br w:val="nil"/>
              <w:tr2bl w:val="nil"/>
            </w:tcBorders>
            <w:noWrap w:val="0"/>
            <w:vAlign w:val="center"/>
          </w:tcPr>
          <w:p w14:paraId="74253040">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序号</w:t>
            </w:r>
          </w:p>
        </w:tc>
        <w:tc>
          <w:tcPr>
            <w:tcW w:w="1275" w:type="dxa"/>
            <w:tcBorders>
              <w:tl2br w:val="nil"/>
              <w:tr2bl w:val="nil"/>
            </w:tcBorders>
            <w:noWrap w:val="0"/>
            <w:vAlign w:val="center"/>
          </w:tcPr>
          <w:p w14:paraId="49518343">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物料名称</w:t>
            </w:r>
          </w:p>
        </w:tc>
        <w:tc>
          <w:tcPr>
            <w:tcW w:w="1012" w:type="dxa"/>
            <w:tcBorders>
              <w:tl2br w:val="nil"/>
              <w:tr2bl w:val="nil"/>
            </w:tcBorders>
            <w:noWrap w:val="0"/>
            <w:vAlign w:val="center"/>
          </w:tcPr>
          <w:p w14:paraId="6F33B16F">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是否为涉VOC物料</w:t>
            </w:r>
          </w:p>
        </w:tc>
        <w:tc>
          <w:tcPr>
            <w:tcW w:w="1150" w:type="dxa"/>
            <w:tcBorders>
              <w:tl2br w:val="nil"/>
              <w:tr2bl w:val="nil"/>
            </w:tcBorders>
            <w:noWrap w:val="0"/>
            <w:vAlign w:val="center"/>
          </w:tcPr>
          <w:p w14:paraId="53931858">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物料状态</w:t>
            </w:r>
          </w:p>
        </w:tc>
        <w:tc>
          <w:tcPr>
            <w:tcW w:w="4923" w:type="dxa"/>
            <w:tcBorders>
              <w:tl2br w:val="nil"/>
              <w:tr2bl w:val="nil"/>
            </w:tcBorders>
            <w:noWrap w:val="0"/>
            <w:vAlign w:val="center"/>
          </w:tcPr>
          <w:p w14:paraId="64A67B76">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物料状态辨识条件</w:t>
            </w:r>
          </w:p>
        </w:tc>
        <w:tc>
          <w:tcPr>
            <w:tcW w:w="605" w:type="dxa"/>
            <w:tcBorders>
              <w:tl2br w:val="nil"/>
              <w:tr2bl w:val="nil"/>
            </w:tcBorders>
            <w:noWrap w:val="0"/>
            <w:vAlign w:val="center"/>
          </w:tcPr>
          <w:p w14:paraId="0E5C5DDB">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备注</w:t>
            </w:r>
          </w:p>
        </w:tc>
      </w:tr>
      <w:tr w14:paraId="112357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703" w:type="dxa"/>
            <w:tcBorders>
              <w:tl2br w:val="nil"/>
              <w:tr2bl w:val="nil"/>
            </w:tcBorders>
            <w:noWrap w:val="0"/>
            <w:vAlign w:val="center"/>
          </w:tcPr>
          <w:p w14:paraId="4C4B181C">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w:t>
            </w:r>
          </w:p>
        </w:tc>
        <w:tc>
          <w:tcPr>
            <w:tcW w:w="1275" w:type="dxa"/>
            <w:tcBorders>
              <w:tl2br w:val="nil"/>
              <w:tr2bl w:val="nil"/>
            </w:tcBorders>
            <w:noWrap w:val="0"/>
            <w:vAlign w:val="center"/>
          </w:tcPr>
          <w:p w14:paraId="69044346">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双甲酯</w:t>
            </w:r>
          </w:p>
        </w:tc>
        <w:tc>
          <w:tcPr>
            <w:tcW w:w="1012" w:type="dxa"/>
            <w:tcBorders>
              <w:tl2br w:val="nil"/>
              <w:tr2bl w:val="nil"/>
            </w:tcBorders>
            <w:noWrap w:val="0"/>
            <w:vAlign w:val="center"/>
          </w:tcPr>
          <w:p w14:paraId="7580EEF1">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69176BAF">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0FE4DDE1">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486961BF">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5E4772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004CA23C">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w:t>
            </w:r>
          </w:p>
        </w:tc>
        <w:tc>
          <w:tcPr>
            <w:tcW w:w="1275" w:type="dxa"/>
            <w:tcBorders>
              <w:tl2br w:val="nil"/>
              <w:tr2bl w:val="nil"/>
            </w:tcBorders>
            <w:noWrap w:val="0"/>
            <w:vAlign w:val="center"/>
          </w:tcPr>
          <w:p w14:paraId="0652E3AC">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苯乙烯</w:t>
            </w:r>
          </w:p>
        </w:tc>
        <w:tc>
          <w:tcPr>
            <w:tcW w:w="1012" w:type="dxa"/>
            <w:tcBorders>
              <w:tl2br w:val="nil"/>
              <w:tr2bl w:val="nil"/>
            </w:tcBorders>
            <w:noWrap w:val="0"/>
            <w:vAlign w:val="center"/>
          </w:tcPr>
          <w:p w14:paraId="5D0200F2">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407656F1">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4838D31A">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1885DCE6">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019541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0C5DFA09">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3</w:t>
            </w:r>
          </w:p>
        </w:tc>
        <w:tc>
          <w:tcPr>
            <w:tcW w:w="1275" w:type="dxa"/>
            <w:tcBorders>
              <w:tl2br w:val="nil"/>
              <w:tr2bl w:val="nil"/>
            </w:tcBorders>
            <w:noWrap w:val="0"/>
            <w:vAlign w:val="center"/>
          </w:tcPr>
          <w:p w14:paraId="7D3185E7">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丁二烯</w:t>
            </w:r>
          </w:p>
        </w:tc>
        <w:tc>
          <w:tcPr>
            <w:tcW w:w="1012" w:type="dxa"/>
            <w:tcBorders>
              <w:tl2br w:val="nil"/>
              <w:tr2bl w:val="nil"/>
            </w:tcBorders>
            <w:noWrap w:val="0"/>
            <w:vAlign w:val="center"/>
          </w:tcPr>
          <w:p w14:paraId="474BFE38">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4D5F5B8F">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5C96560D">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71438DD5">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4735D4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5B370F84">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4</w:t>
            </w:r>
          </w:p>
        </w:tc>
        <w:tc>
          <w:tcPr>
            <w:tcW w:w="1275" w:type="dxa"/>
            <w:tcBorders>
              <w:tl2br w:val="nil"/>
              <w:tr2bl w:val="nil"/>
            </w:tcBorders>
            <w:noWrap w:val="0"/>
            <w:vAlign w:val="center"/>
          </w:tcPr>
          <w:p w14:paraId="02C917B9">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丁酯</w:t>
            </w:r>
          </w:p>
        </w:tc>
        <w:tc>
          <w:tcPr>
            <w:tcW w:w="1012" w:type="dxa"/>
            <w:tcBorders>
              <w:tl2br w:val="nil"/>
              <w:tr2bl w:val="nil"/>
            </w:tcBorders>
            <w:noWrap w:val="0"/>
            <w:vAlign w:val="center"/>
          </w:tcPr>
          <w:p w14:paraId="66662543">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34BCA5A8">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49087654">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1D8637E4">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408828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21235972">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5</w:t>
            </w:r>
          </w:p>
        </w:tc>
        <w:tc>
          <w:tcPr>
            <w:tcW w:w="1275" w:type="dxa"/>
            <w:tcBorders>
              <w:tl2br w:val="nil"/>
              <w:tr2bl w:val="nil"/>
            </w:tcBorders>
            <w:noWrap w:val="0"/>
            <w:vAlign w:val="center"/>
          </w:tcPr>
          <w:p w14:paraId="419EC500">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二甲基乙酰胺</w:t>
            </w:r>
          </w:p>
        </w:tc>
        <w:tc>
          <w:tcPr>
            <w:tcW w:w="1012" w:type="dxa"/>
            <w:tcBorders>
              <w:tl2br w:val="nil"/>
              <w:tr2bl w:val="nil"/>
            </w:tcBorders>
            <w:noWrap w:val="0"/>
            <w:vAlign w:val="center"/>
          </w:tcPr>
          <w:p w14:paraId="0E889C73">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293B8F88">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38C3A991">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4224AC49">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7CF7BC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404538D6">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6</w:t>
            </w:r>
          </w:p>
        </w:tc>
        <w:tc>
          <w:tcPr>
            <w:tcW w:w="1275" w:type="dxa"/>
            <w:tcBorders>
              <w:tl2br w:val="nil"/>
              <w:tr2bl w:val="nil"/>
            </w:tcBorders>
            <w:noWrap w:val="0"/>
            <w:vAlign w:val="center"/>
          </w:tcPr>
          <w:p w14:paraId="1C78DA9F">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二硝</w:t>
            </w:r>
          </w:p>
        </w:tc>
        <w:tc>
          <w:tcPr>
            <w:tcW w:w="1012" w:type="dxa"/>
            <w:tcBorders>
              <w:tl2br w:val="nil"/>
              <w:tr2bl w:val="nil"/>
            </w:tcBorders>
            <w:noWrap w:val="0"/>
            <w:vAlign w:val="center"/>
          </w:tcPr>
          <w:p w14:paraId="1D50D111">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6F329D81">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46ABD109">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4EFC6F7F">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13EB2D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3CC0ED6F">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7</w:t>
            </w:r>
          </w:p>
        </w:tc>
        <w:tc>
          <w:tcPr>
            <w:tcW w:w="1275" w:type="dxa"/>
            <w:tcBorders>
              <w:tl2br w:val="nil"/>
              <w:tr2bl w:val="nil"/>
            </w:tcBorders>
            <w:noWrap w:val="0"/>
            <w:vAlign w:val="center"/>
          </w:tcPr>
          <w:p w14:paraId="475F3893">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环氧丙烷</w:t>
            </w:r>
          </w:p>
        </w:tc>
        <w:tc>
          <w:tcPr>
            <w:tcW w:w="1012" w:type="dxa"/>
            <w:tcBorders>
              <w:tl2br w:val="nil"/>
              <w:tr2bl w:val="nil"/>
            </w:tcBorders>
            <w:noWrap w:val="0"/>
            <w:vAlign w:val="center"/>
          </w:tcPr>
          <w:p w14:paraId="5165940C">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0B9EDD21">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4FA4B46F">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00CF564D">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55F9D5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0CA218E0">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8</w:t>
            </w:r>
          </w:p>
        </w:tc>
        <w:tc>
          <w:tcPr>
            <w:tcW w:w="1275" w:type="dxa"/>
            <w:tcBorders>
              <w:tl2br w:val="nil"/>
              <w:tr2bl w:val="nil"/>
            </w:tcBorders>
            <w:noWrap w:val="0"/>
            <w:vAlign w:val="center"/>
          </w:tcPr>
          <w:p w14:paraId="39BBAE8E">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环氧乙烷</w:t>
            </w:r>
          </w:p>
        </w:tc>
        <w:tc>
          <w:tcPr>
            <w:tcW w:w="1012" w:type="dxa"/>
            <w:tcBorders>
              <w:tl2br w:val="nil"/>
              <w:tr2bl w:val="nil"/>
            </w:tcBorders>
            <w:noWrap w:val="0"/>
            <w:vAlign w:val="center"/>
          </w:tcPr>
          <w:p w14:paraId="29FDDA95">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7AA98025">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12B0C85D">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6290218C">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6FEC37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646FE408">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9</w:t>
            </w:r>
          </w:p>
        </w:tc>
        <w:tc>
          <w:tcPr>
            <w:tcW w:w="1275" w:type="dxa"/>
            <w:tcBorders>
              <w:tl2br w:val="nil"/>
              <w:tr2bl w:val="nil"/>
            </w:tcBorders>
            <w:noWrap w:val="0"/>
            <w:vAlign w:val="center"/>
          </w:tcPr>
          <w:p w14:paraId="27C46A98">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甲醇</w:t>
            </w:r>
          </w:p>
        </w:tc>
        <w:tc>
          <w:tcPr>
            <w:tcW w:w="1012" w:type="dxa"/>
            <w:tcBorders>
              <w:tl2br w:val="nil"/>
              <w:tr2bl w:val="nil"/>
            </w:tcBorders>
            <w:noWrap w:val="0"/>
            <w:vAlign w:val="center"/>
          </w:tcPr>
          <w:p w14:paraId="502372F9">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145D617A">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2BF43A7B">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60D47F13">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7A1E25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65FA50EA">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10</w:t>
            </w:r>
          </w:p>
        </w:tc>
        <w:tc>
          <w:tcPr>
            <w:tcW w:w="1275" w:type="dxa"/>
            <w:tcBorders>
              <w:tl2br w:val="nil"/>
              <w:tr2bl w:val="nil"/>
            </w:tcBorders>
            <w:noWrap w:val="0"/>
            <w:vAlign w:val="center"/>
          </w:tcPr>
          <w:p w14:paraId="731DA1BD">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氯化苯</w:t>
            </w:r>
          </w:p>
        </w:tc>
        <w:tc>
          <w:tcPr>
            <w:tcW w:w="1012" w:type="dxa"/>
            <w:tcBorders>
              <w:tl2br w:val="nil"/>
              <w:tr2bl w:val="nil"/>
            </w:tcBorders>
            <w:noWrap w:val="0"/>
            <w:vAlign w:val="center"/>
          </w:tcPr>
          <w:p w14:paraId="0BEE72B9">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11A98E13">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5338465A">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53F33477">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77D6FE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06332EFC">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11</w:t>
            </w:r>
          </w:p>
        </w:tc>
        <w:tc>
          <w:tcPr>
            <w:tcW w:w="1275" w:type="dxa"/>
            <w:tcBorders>
              <w:tl2br w:val="nil"/>
              <w:tr2bl w:val="nil"/>
            </w:tcBorders>
            <w:noWrap w:val="0"/>
            <w:vAlign w:val="center"/>
          </w:tcPr>
          <w:p w14:paraId="187C7B03">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溶剂油</w:t>
            </w:r>
          </w:p>
        </w:tc>
        <w:tc>
          <w:tcPr>
            <w:tcW w:w="1012" w:type="dxa"/>
            <w:tcBorders>
              <w:tl2br w:val="nil"/>
              <w:tr2bl w:val="nil"/>
            </w:tcBorders>
            <w:noWrap w:val="0"/>
            <w:vAlign w:val="center"/>
          </w:tcPr>
          <w:p w14:paraId="71C8BE3E">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42078833">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5DF4DC61">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43AF7BD8">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1A736C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2DC4E819">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12</w:t>
            </w:r>
          </w:p>
        </w:tc>
        <w:tc>
          <w:tcPr>
            <w:tcW w:w="1275" w:type="dxa"/>
            <w:tcBorders>
              <w:tl2br w:val="nil"/>
              <w:tr2bl w:val="nil"/>
            </w:tcBorders>
            <w:noWrap w:val="0"/>
            <w:vAlign w:val="center"/>
          </w:tcPr>
          <w:p w14:paraId="28FB30EB">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硝基苯</w:t>
            </w:r>
          </w:p>
        </w:tc>
        <w:tc>
          <w:tcPr>
            <w:tcW w:w="1012" w:type="dxa"/>
            <w:tcBorders>
              <w:tl2br w:val="nil"/>
              <w:tr2bl w:val="nil"/>
            </w:tcBorders>
            <w:noWrap w:val="0"/>
            <w:vAlign w:val="center"/>
          </w:tcPr>
          <w:p w14:paraId="02A47CE0">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3D3CB8F7">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44243DF1">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7DD1135A">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625DE7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71A4972E">
            <w:pPr>
              <w:pStyle w:val="26"/>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13</w:t>
            </w:r>
          </w:p>
        </w:tc>
        <w:tc>
          <w:tcPr>
            <w:tcW w:w="1275" w:type="dxa"/>
            <w:tcBorders>
              <w:tl2br w:val="nil"/>
              <w:tr2bl w:val="nil"/>
            </w:tcBorders>
            <w:noWrap w:val="0"/>
            <w:vAlign w:val="center"/>
          </w:tcPr>
          <w:p w14:paraId="26A709D7">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浆液</w:t>
            </w:r>
          </w:p>
        </w:tc>
        <w:tc>
          <w:tcPr>
            <w:tcW w:w="1012" w:type="dxa"/>
            <w:tcBorders>
              <w:tl2br w:val="nil"/>
              <w:tr2bl w:val="nil"/>
            </w:tcBorders>
            <w:noWrap w:val="0"/>
            <w:vAlign w:val="center"/>
          </w:tcPr>
          <w:p w14:paraId="3CFC6A3C">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6A1B0E1F">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16C833FB">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1AB1A64A">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367799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76F6C81F">
            <w:pPr>
              <w:pStyle w:val="26"/>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14</w:t>
            </w:r>
          </w:p>
        </w:tc>
        <w:tc>
          <w:tcPr>
            <w:tcW w:w="1275" w:type="dxa"/>
            <w:tcBorders>
              <w:tl2br w:val="nil"/>
              <w:tr2bl w:val="nil"/>
            </w:tcBorders>
            <w:noWrap w:val="0"/>
            <w:vAlign w:val="center"/>
          </w:tcPr>
          <w:p w14:paraId="669B1956">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胶乳</w:t>
            </w:r>
          </w:p>
        </w:tc>
        <w:tc>
          <w:tcPr>
            <w:tcW w:w="1012" w:type="dxa"/>
            <w:tcBorders>
              <w:tl2br w:val="nil"/>
              <w:tr2bl w:val="nil"/>
            </w:tcBorders>
            <w:noWrap w:val="0"/>
            <w:vAlign w:val="center"/>
          </w:tcPr>
          <w:p w14:paraId="380E547F">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18B0A3F3">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388CD210">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13699901">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00D982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2D019A24">
            <w:pPr>
              <w:pStyle w:val="26"/>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15</w:t>
            </w:r>
          </w:p>
        </w:tc>
        <w:tc>
          <w:tcPr>
            <w:tcW w:w="1275" w:type="dxa"/>
            <w:tcBorders>
              <w:tl2br w:val="nil"/>
              <w:tr2bl w:val="nil"/>
            </w:tcBorders>
            <w:noWrap w:val="0"/>
            <w:vAlign w:val="center"/>
          </w:tcPr>
          <w:p w14:paraId="3F34A2C5">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抗氧剂</w:t>
            </w:r>
          </w:p>
        </w:tc>
        <w:tc>
          <w:tcPr>
            <w:tcW w:w="1012" w:type="dxa"/>
            <w:tcBorders>
              <w:tl2br w:val="nil"/>
              <w:tr2bl w:val="nil"/>
            </w:tcBorders>
            <w:noWrap w:val="0"/>
            <w:vAlign w:val="center"/>
          </w:tcPr>
          <w:p w14:paraId="30E3B61C">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152240C9">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7D47495D">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63311B57">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650DFD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4DE1089F">
            <w:pPr>
              <w:pStyle w:val="26"/>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16</w:t>
            </w:r>
          </w:p>
        </w:tc>
        <w:tc>
          <w:tcPr>
            <w:tcW w:w="1275" w:type="dxa"/>
            <w:tcBorders>
              <w:tl2br w:val="nil"/>
              <w:tr2bl w:val="nil"/>
            </w:tcBorders>
            <w:noWrap w:val="0"/>
            <w:vAlign w:val="center"/>
          </w:tcPr>
          <w:p w14:paraId="2F106BEC">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乳液</w:t>
            </w:r>
          </w:p>
        </w:tc>
        <w:tc>
          <w:tcPr>
            <w:tcW w:w="1012" w:type="dxa"/>
            <w:tcBorders>
              <w:tl2br w:val="nil"/>
              <w:tr2bl w:val="nil"/>
            </w:tcBorders>
            <w:noWrap w:val="0"/>
            <w:vAlign w:val="center"/>
          </w:tcPr>
          <w:p w14:paraId="2EB7AF79">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70630BFA">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098EBB5E">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643FC38A">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48E2A4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7081201A">
            <w:pPr>
              <w:pStyle w:val="26"/>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17</w:t>
            </w:r>
          </w:p>
        </w:tc>
        <w:tc>
          <w:tcPr>
            <w:tcW w:w="1275" w:type="dxa"/>
            <w:tcBorders>
              <w:tl2br w:val="nil"/>
              <w:tr2bl w:val="nil"/>
            </w:tcBorders>
            <w:noWrap w:val="0"/>
            <w:vAlign w:val="center"/>
          </w:tcPr>
          <w:p w14:paraId="57D2B76D">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乳化剂</w:t>
            </w:r>
          </w:p>
        </w:tc>
        <w:tc>
          <w:tcPr>
            <w:tcW w:w="1012" w:type="dxa"/>
            <w:tcBorders>
              <w:tl2br w:val="nil"/>
              <w:tr2bl w:val="nil"/>
            </w:tcBorders>
            <w:noWrap w:val="0"/>
            <w:vAlign w:val="center"/>
          </w:tcPr>
          <w:p w14:paraId="05D7EC88">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013A2ED8">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758F76D7">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42D24919">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06AAE9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040F984E">
            <w:pPr>
              <w:pStyle w:val="26"/>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18</w:t>
            </w:r>
          </w:p>
        </w:tc>
        <w:tc>
          <w:tcPr>
            <w:tcW w:w="1275" w:type="dxa"/>
            <w:tcBorders>
              <w:tl2br w:val="nil"/>
              <w:tr2bl w:val="nil"/>
            </w:tcBorders>
            <w:noWrap w:val="0"/>
            <w:vAlign w:val="center"/>
          </w:tcPr>
          <w:p w14:paraId="24FB3A71">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酚钠</w:t>
            </w:r>
          </w:p>
        </w:tc>
        <w:tc>
          <w:tcPr>
            <w:tcW w:w="1012" w:type="dxa"/>
            <w:tcBorders>
              <w:tl2br w:val="nil"/>
              <w:tr2bl w:val="nil"/>
            </w:tcBorders>
            <w:noWrap w:val="0"/>
            <w:vAlign w:val="center"/>
          </w:tcPr>
          <w:p w14:paraId="473A4A92">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2B57CC76">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5D3C08EF">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635CDDB0">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74C430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7DD06DCA">
            <w:pPr>
              <w:pStyle w:val="26"/>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19</w:t>
            </w:r>
          </w:p>
        </w:tc>
        <w:tc>
          <w:tcPr>
            <w:tcW w:w="1275" w:type="dxa"/>
            <w:tcBorders>
              <w:tl2br w:val="nil"/>
              <w:tr2bl w:val="nil"/>
            </w:tcBorders>
            <w:noWrap w:val="0"/>
            <w:vAlign w:val="center"/>
          </w:tcPr>
          <w:p w14:paraId="13BF7162">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终止剂</w:t>
            </w:r>
          </w:p>
        </w:tc>
        <w:tc>
          <w:tcPr>
            <w:tcW w:w="1012" w:type="dxa"/>
            <w:tcBorders>
              <w:tl2br w:val="nil"/>
              <w:tr2bl w:val="nil"/>
            </w:tcBorders>
            <w:noWrap w:val="0"/>
            <w:vAlign w:val="center"/>
          </w:tcPr>
          <w:p w14:paraId="62D81F20">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225D2A48">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428A9B23">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27190298">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39EA85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21973F39">
            <w:pPr>
              <w:pStyle w:val="26"/>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w:t>
            </w:r>
          </w:p>
        </w:tc>
        <w:tc>
          <w:tcPr>
            <w:tcW w:w="1275" w:type="dxa"/>
            <w:tcBorders>
              <w:tl2br w:val="nil"/>
              <w:tr2bl w:val="nil"/>
            </w:tcBorders>
            <w:noWrap w:val="0"/>
            <w:vAlign w:val="center"/>
          </w:tcPr>
          <w:p w14:paraId="7A3C7464">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助剂</w:t>
            </w:r>
          </w:p>
        </w:tc>
        <w:tc>
          <w:tcPr>
            <w:tcW w:w="1012" w:type="dxa"/>
            <w:tcBorders>
              <w:tl2br w:val="nil"/>
              <w:tr2bl w:val="nil"/>
            </w:tcBorders>
            <w:noWrap w:val="0"/>
            <w:vAlign w:val="center"/>
          </w:tcPr>
          <w:p w14:paraId="1D57B42B">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2B119824">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74313582">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083C5AEC">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007212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448C7F13">
            <w:pPr>
              <w:pStyle w:val="26"/>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21</w:t>
            </w:r>
          </w:p>
        </w:tc>
        <w:tc>
          <w:tcPr>
            <w:tcW w:w="1275" w:type="dxa"/>
            <w:tcBorders>
              <w:tl2br w:val="nil"/>
              <w:tr2bl w:val="nil"/>
            </w:tcBorders>
            <w:noWrap w:val="0"/>
            <w:vAlign w:val="center"/>
          </w:tcPr>
          <w:p w14:paraId="571D04FB">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单体料</w:t>
            </w:r>
          </w:p>
        </w:tc>
        <w:tc>
          <w:tcPr>
            <w:tcW w:w="1012" w:type="dxa"/>
            <w:tcBorders>
              <w:tl2br w:val="nil"/>
              <w:tr2bl w:val="nil"/>
            </w:tcBorders>
            <w:noWrap w:val="0"/>
            <w:vAlign w:val="center"/>
          </w:tcPr>
          <w:p w14:paraId="3A2210A5">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29B6E428">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5CC3E545">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19F17759">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2F74E8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14:paraId="545CD795">
            <w:pPr>
              <w:pStyle w:val="26"/>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22</w:t>
            </w:r>
          </w:p>
        </w:tc>
        <w:tc>
          <w:tcPr>
            <w:tcW w:w="1275" w:type="dxa"/>
            <w:tcBorders>
              <w:tl2br w:val="nil"/>
              <w:tr2bl w:val="nil"/>
            </w:tcBorders>
            <w:noWrap w:val="0"/>
            <w:vAlign w:val="center"/>
          </w:tcPr>
          <w:p w14:paraId="63581F31">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分散剂</w:t>
            </w:r>
          </w:p>
        </w:tc>
        <w:tc>
          <w:tcPr>
            <w:tcW w:w="1012" w:type="dxa"/>
            <w:tcBorders>
              <w:tl2br w:val="nil"/>
              <w:tr2bl w:val="nil"/>
            </w:tcBorders>
            <w:noWrap w:val="0"/>
            <w:vAlign w:val="center"/>
          </w:tcPr>
          <w:p w14:paraId="3C520A8E">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6A99F788">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74BC4C43">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4B8B0D57">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bl>
    <w:p w14:paraId="61FE03D4">
      <w:pPr>
        <w:rPr>
          <w:rFonts w:hint="eastAsia" w:asciiTheme="majorEastAsia" w:hAnsiTheme="majorEastAsia" w:eastAsiaTheme="majorEastAsia" w:cstheme="majorEastAsia"/>
          <w:lang w:val="en-US" w:eastAsia="zh-CN"/>
        </w:rPr>
      </w:pPr>
    </w:p>
    <w:p w14:paraId="049447C2">
      <w:pPr>
        <w:pStyle w:val="4"/>
        <w:numPr>
          <w:ilvl w:val="1"/>
          <w:numId w:val="0"/>
        </w:numPr>
        <w:bidi w:val="0"/>
        <w:ind w:leftChars="0"/>
        <w:rPr>
          <w:rFonts w:hint="eastAsia" w:asciiTheme="majorEastAsia" w:hAnsiTheme="majorEastAsia" w:eastAsiaTheme="majorEastAsia" w:cstheme="majorEastAsia"/>
          <w:lang w:val="en-US" w:eastAsia="zh-CN"/>
        </w:rPr>
      </w:pPr>
      <w:bookmarkStart w:id="50" w:name="_Toc11603"/>
      <w:r>
        <w:rPr>
          <w:rFonts w:hint="eastAsia" w:asciiTheme="majorEastAsia" w:hAnsiTheme="majorEastAsia" w:eastAsiaTheme="majorEastAsia" w:cstheme="majorEastAsia"/>
          <w:lang w:val="en-US" w:eastAsia="zh-CN"/>
        </w:rPr>
        <w:t>2.5受控装置分析清单</w:t>
      </w:r>
      <w:bookmarkEnd w:id="50"/>
    </w:p>
    <w:bookmarkEnd w:id="39"/>
    <w:tbl>
      <w:tblPr>
        <w:tblStyle w:val="13"/>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15" w:type="dxa"/>
          <w:left w:w="15" w:type="dxa"/>
          <w:bottom w:w="15" w:type="dxa"/>
          <w:right w:w="15" w:type="dxa"/>
        </w:tblCellMar>
      </w:tblPr>
      <w:tblGrid>
        <w:gridCol w:w="794"/>
        <w:gridCol w:w="2278"/>
        <w:gridCol w:w="1586"/>
        <w:gridCol w:w="3390"/>
        <w:gridCol w:w="1620"/>
      </w:tblGrid>
      <w:tr w14:paraId="48613F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5000" w:type="pct"/>
            <w:gridSpan w:val="5"/>
            <w:tcBorders>
              <w:tl2br w:val="nil"/>
              <w:tr2bl w:val="nil"/>
            </w:tcBorders>
            <w:vAlign w:val="center"/>
          </w:tcPr>
          <w:p w14:paraId="4E9CF73C">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bookmarkStart w:id="51" w:name="_Toc12509"/>
            <w:bookmarkStart w:id="52" w:name="_Toc17776"/>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受控装置分析清单</w:t>
            </w:r>
          </w:p>
        </w:tc>
      </w:tr>
      <w:tr w14:paraId="192BF8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411" w:type="pct"/>
            <w:tcBorders>
              <w:tl2br w:val="nil"/>
              <w:tr2bl w:val="nil"/>
            </w:tcBorders>
            <w:shd w:val="clear" w:color="auto" w:fill="auto"/>
            <w:vAlign w:val="center"/>
          </w:tcPr>
          <w:p w14:paraId="18E05C89">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序号</w:t>
            </w:r>
          </w:p>
        </w:tc>
        <w:tc>
          <w:tcPr>
            <w:tcW w:w="1178" w:type="pct"/>
            <w:tcBorders>
              <w:tl2br w:val="nil"/>
              <w:tr2bl w:val="nil"/>
            </w:tcBorders>
            <w:shd w:val="clear" w:color="auto" w:fill="auto"/>
            <w:vAlign w:val="center"/>
          </w:tcPr>
          <w:p w14:paraId="322096B6">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装置</w:t>
            </w:r>
          </w:p>
        </w:tc>
        <w:tc>
          <w:tcPr>
            <w:tcW w:w="820" w:type="pct"/>
            <w:tcBorders>
              <w:tl2br w:val="nil"/>
              <w:tr2bl w:val="nil"/>
            </w:tcBorders>
            <w:shd w:val="clear" w:color="auto" w:fill="auto"/>
            <w:vAlign w:val="center"/>
          </w:tcPr>
          <w:p w14:paraId="33624BCD">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是否受控</w:t>
            </w:r>
          </w:p>
        </w:tc>
        <w:tc>
          <w:tcPr>
            <w:tcW w:w="1753" w:type="pct"/>
            <w:tcBorders>
              <w:tl2br w:val="nil"/>
              <w:tr2bl w:val="nil"/>
            </w:tcBorders>
            <w:shd w:val="clear" w:color="auto" w:fill="auto"/>
            <w:vAlign w:val="center"/>
          </w:tcPr>
          <w:p w14:paraId="1815BA9F">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原因</w:t>
            </w:r>
          </w:p>
        </w:tc>
        <w:tc>
          <w:tcPr>
            <w:tcW w:w="836" w:type="pct"/>
            <w:tcBorders>
              <w:tl2br w:val="nil"/>
              <w:tr2bl w:val="nil"/>
            </w:tcBorders>
            <w:shd w:val="clear" w:color="auto" w:fill="auto"/>
            <w:vAlign w:val="center"/>
          </w:tcPr>
          <w:p w14:paraId="521C4135">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装置编码</w:t>
            </w:r>
          </w:p>
        </w:tc>
      </w:tr>
      <w:tr w14:paraId="077DC6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5000" w:type="pct"/>
            <w:gridSpan w:val="5"/>
            <w:tcBorders>
              <w:tl2br w:val="nil"/>
              <w:tr2bl w:val="nil"/>
            </w:tcBorders>
            <w:vAlign w:val="center"/>
          </w:tcPr>
          <w:p w14:paraId="424C406D">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一、受控装置</w:t>
            </w:r>
          </w:p>
        </w:tc>
      </w:tr>
      <w:tr w14:paraId="4A9C52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411" w:type="pct"/>
            <w:tcBorders>
              <w:tl2br w:val="nil"/>
              <w:tr2bl w:val="nil"/>
            </w:tcBorders>
            <w:vAlign w:val="center"/>
          </w:tcPr>
          <w:p w14:paraId="1B038786">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w:t>
            </w:r>
          </w:p>
        </w:tc>
        <w:tc>
          <w:tcPr>
            <w:tcW w:w="2278" w:type="dxa"/>
            <w:tcBorders>
              <w:tl2br w:val="nil"/>
              <w:tr2bl w:val="nil"/>
            </w:tcBorders>
            <w:vAlign w:val="center"/>
          </w:tcPr>
          <w:p w14:paraId="54BA594A">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sz w:val="21"/>
                <w:szCs w:val="21"/>
                <w:lang w:val="en-US" w:eastAsia="zh-CN"/>
              </w:rPr>
              <w:t>ODA一装置</w:t>
            </w:r>
          </w:p>
        </w:tc>
        <w:tc>
          <w:tcPr>
            <w:tcW w:w="820" w:type="pct"/>
            <w:tcBorders>
              <w:tl2br w:val="nil"/>
              <w:tr2bl w:val="nil"/>
            </w:tcBorders>
            <w:vAlign w:val="center"/>
          </w:tcPr>
          <w:p w14:paraId="6ED655F0">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3390" w:type="dxa"/>
            <w:tcBorders>
              <w:tl2br w:val="nil"/>
              <w:tr2bl w:val="nil"/>
            </w:tcBorders>
            <w:vAlign w:val="center"/>
          </w:tcPr>
          <w:p w14:paraId="7EE18E52">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涉VOCs物料:二硝、氯化苯、硝基苯等</w:t>
            </w:r>
          </w:p>
        </w:tc>
        <w:tc>
          <w:tcPr>
            <w:tcW w:w="1620" w:type="dxa"/>
            <w:tcBorders>
              <w:tl2br w:val="nil"/>
              <w:tr2bl w:val="nil"/>
            </w:tcBorders>
            <w:vAlign w:val="center"/>
          </w:tcPr>
          <w:p w14:paraId="0E30BBC7">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XODAY0</w:t>
            </w:r>
          </w:p>
        </w:tc>
      </w:tr>
      <w:tr w14:paraId="128533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411" w:type="pct"/>
            <w:tcBorders>
              <w:tl2br w:val="nil"/>
              <w:tr2bl w:val="nil"/>
            </w:tcBorders>
            <w:vAlign w:val="center"/>
          </w:tcPr>
          <w:p w14:paraId="37938C27">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w:t>
            </w:r>
          </w:p>
        </w:tc>
        <w:tc>
          <w:tcPr>
            <w:tcW w:w="2278" w:type="dxa"/>
            <w:tcBorders>
              <w:tl2br w:val="nil"/>
              <w:tr2bl w:val="nil"/>
            </w:tcBorders>
            <w:vAlign w:val="center"/>
          </w:tcPr>
          <w:p w14:paraId="7AD1A2C0">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sz w:val="21"/>
                <w:szCs w:val="21"/>
                <w:lang w:val="en-US" w:eastAsia="zh-CN"/>
              </w:rPr>
              <w:t>ODA二装置</w:t>
            </w:r>
          </w:p>
        </w:tc>
        <w:tc>
          <w:tcPr>
            <w:tcW w:w="820" w:type="pct"/>
            <w:tcBorders>
              <w:tl2br w:val="nil"/>
              <w:tr2bl w:val="nil"/>
            </w:tcBorders>
            <w:vAlign w:val="center"/>
          </w:tcPr>
          <w:p w14:paraId="2123B70A">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3390" w:type="dxa"/>
            <w:tcBorders>
              <w:tl2br w:val="nil"/>
              <w:tr2bl w:val="nil"/>
            </w:tcBorders>
            <w:vAlign w:val="center"/>
          </w:tcPr>
          <w:p w14:paraId="1583BAFF">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涉VOCs物料:二甲基乙酰胺、甲醇</w:t>
            </w:r>
          </w:p>
        </w:tc>
        <w:tc>
          <w:tcPr>
            <w:tcW w:w="1620" w:type="dxa"/>
            <w:tcBorders>
              <w:tl2br w:val="nil"/>
              <w:tr2bl w:val="nil"/>
            </w:tcBorders>
            <w:vAlign w:val="center"/>
          </w:tcPr>
          <w:p w14:paraId="2D422B33">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XODAE0</w:t>
            </w:r>
          </w:p>
        </w:tc>
      </w:tr>
      <w:tr w14:paraId="32FE38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411" w:type="pct"/>
            <w:tcBorders>
              <w:tl2br w:val="nil"/>
              <w:tr2bl w:val="nil"/>
            </w:tcBorders>
            <w:vAlign w:val="center"/>
          </w:tcPr>
          <w:p w14:paraId="71D911A3">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3</w:t>
            </w:r>
          </w:p>
        </w:tc>
        <w:tc>
          <w:tcPr>
            <w:tcW w:w="2278" w:type="dxa"/>
            <w:tcBorders>
              <w:tl2br w:val="nil"/>
              <w:tr2bl w:val="nil"/>
            </w:tcBorders>
            <w:vAlign w:val="center"/>
          </w:tcPr>
          <w:p w14:paraId="5828A6EB">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sz w:val="21"/>
                <w:szCs w:val="21"/>
                <w:lang w:val="en-US" w:eastAsia="zh-CN"/>
              </w:rPr>
              <w:t>储运装置</w:t>
            </w:r>
          </w:p>
        </w:tc>
        <w:tc>
          <w:tcPr>
            <w:tcW w:w="820" w:type="pct"/>
            <w:tcBorders>
              <w:tl2br w:val="nil"/>
              <w:tr2bl w:val="nil"/>
            </w:tcBorders>
            <w:vAlign w:val="center"/>
          </w:tcPr>
          <w:p w14:paraId="61B77A39">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3390" w:type="dxa"/>
            <w:tcBorders>
              <w:tl2br w:val="nil"/>
              <w:tr2bl w:val="nil"/>
            </w:tcBorders>
            <w:vAlign w:val="center"/>
          </w:tcPr>
          <w:p w14:paraId="18590630">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涉VOCs物料:双甲酯、环氧丙烷、环氧乙烷、丁二烯等</w:t>
            </w:r>
          </w:p>
        </w:tc>
        <w:tc>
          <w:tcPr>
            <w:tcW w:w="1620" w:type="dxa"/>
            <w:tcBorders>
              <w:tl2br w:val="nil"/>
              <w:tr2bl w:val="nil"/>
            </w:tcBorders>
            <w:vAlign w:val="center"/>
          </w:tcPr>
          <w:p w14:paraId="47566FD7">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XXXZG0</w:t>
            </w:r>
          </w:p>
        </w:tc>
      </w:tr>
      <w:tr w14:paraId="69F152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411" w:type="pct"/>
            <w:tcBorders>
              <w:tl2br w:val="nil"/>
              <w:tr2bl w:val="nil"/>
            </w:tcBorders>
            <w:vAlign w:val="center"/>
          </w:tcPr>
          <w:p w14:paraId="3FC0DDFA">
            <w:pPr>
              <w:pStyle w:val="26"/>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4</w:t>
            </w:r>
          </w:p>
        </w:tc>
        <w:tc>
          <w:tcPr>
            <w:tcW w:w="2278" w:type="dxa"/>
            <w:tcBorders>
              <w:tl2br w:val="nil"/>
              <w:tr2bl w:val="nil"/>
            </w:tcBorders>
            <w:vAlign w:val="center"/>
          </w:tcPr>
          <w:p w14:paraId="12DDF8D7">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新材料一装置</w:t>
            </w:r>
          </w:p>
        </w:tc>
        <w:tc>
          <w:tcPr>
            <w:tcW w:w="820" w:type="pct"/>
            <w:tcBorders>
              <w:tl2br w:val="nil"/>
              <w:tr2bl w:val="nil"/>
            </w:tcBorders>
            <w:vAlign w:val="center"/>
          </w:tcPr>
          <w:p w14:paraId="1FF7381A">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3390" w:type="dxa"/>
            <w:tcBorders>
              <w:tl2br w:val="nil"/>
              <w:tr2bl w:val="nil"/>
            </w:tcBorders>
            <w:vAlign w:val="center"/>
          </w:tcPr>
          <w:p w14:paraId="276AB702">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涉VOCs物料:乳化剂、苯乙烯、乳液、抗氧剂、丁二烯等</w:t>
            </w:r>
          </w:p>
        </w:tc>
        <w:tc>
          <w:tcPr>
            <w:tcW w:w="1620" w:type="dxa"/>
            <w:tcBorders>
              <w:tl2br w:val="nil"/>
              <w:tr2bl w:val="nil"/>
            </w:tcBorders>
            <w:vAlign w:val="center"/>
          </w:tcPr>
          <w:p w14:paraId="7E18E8CE">
            <w:pPr>
              <w:pStyle w:val="26"/>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XXCLY0</w:t>
            </w:r>
          </w:p>
        </w:tc>
      </w:tr>
      <w:tr w14:paraId="753603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5000" w:type="pct"/>
            <w:gridSpan w:val="5"/>
            <w:tcBorders>
              <w:tl2br w:val="nil"/>
              <w:tr2bl w:val="nil"/>
            </w:tcBorders>
            <w:vAlign w:val="center"/>
          </w:tcPr>
          <w:p w14:paraId="34BBC112">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依据《石化企业泄漏检测与修复工作指南》（环办【2015】104号）5.2分析装置涉及的原料、中间产品、最终产品和各类助剂的组分和含量，任何时间不含涉VOCs物料的装置，为非受控装置。否则，应纳入LDAR实施范围，并建立企业受控装置清单。</w:t>
            </w:r>
          </w:p>
        </w:tc>
      </w:tr>
    </w:tbl>
    <w:p w14:paraId="30F79997">
      <w:pPr>
        <w:rPr>
          <w:rFonts w:hint="eastAsia" w:asciiTheme="majorEastAsia" w:hAnsiTheme="majorEastAsia" w:eastAsiaTheme="majorEastAsia" w:cstheme="majorEastAsia"/>
          <w:lang w:val="en-US" w:eastAsia="zh-CN"/>
        </w:rPr>
      </w:pPr>
    </w:p>
    <w:p w14:paraId="26CFB6AC">
      <w:pPr>
        <w:rPr>
          <w:rFonts w:hint="eastAsia" w:asciiTheme="majorEastAsia" w:hAnsiTheme="majorEastAsia" w:eastAsiaTheme="majorEastAsia" w:cstheme="majorEastAsia"/>
          <w:lang w:val="en-US" w:eastAsia="zh-CN"/>
        </w:rPr>
      </w:pPr>
    </w:p>
    <w:p w14:paraId="65E450C4">
      <w:pPr>
        <w:pStyle w:val="6"/>
        <w:rPr>
          <w:rFonts w:hint="eastAsia" w:asciiTheme="majorEastAsia" w:hAnsiTheme="majorEastAsia" w:eastAsiaTheme="majorEastAsia" w:cstheme="majorEastAsia"/>
          <w:b/>
          <w:bCs/>
          <w:color w:val="000000"/>
          <w:kern w:val="0"/>
          <w:sz w:val="21"/>
          <w:szCs w:val="21"/>
          <w:u w:val="none"/>
          <w:lang w:val="en-US" w:eastAsia="zh-CN" w:bidi="ar-SA"/>
        </w:rPr>
      </w:pPr>
      <w:r>
        <w:rPr>
          <w:rFonts w:hint="eastAsia" w:asciiTheme="majorEastAsia" w:hAnsiTheme="majorEastAsia" w:eastAsiaTheme="majorEastAsia" w:cstheme="majorEastAsia"/>
          <w:b/>
          <w:bCs/>
          <w:color w:val="000000"/>
          <w:kern w:val="0"/>
          <w:sz w:val="21"/>
          <w:szCs w:val="21"/>
          <w:u w:val="none"/>
          <w:lang w:val="en-US" w:eastAsia="zh-CN" w:bidi="ar-SA"/>
        </w:rPr>
        <w:t>本次豁免装置明细：</w:t>
      </w:r>
    </w:p>
    <w:tbl>
      <w:tblPr>
        <w:tblStyle w:val="14"/>
        <w:tblpPr w:leftFromText="180" w:rightFromText="180" w:vertAnchor="text" w:horzAnchor="page" w:tblpX="1184" w:tblpY="4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1216"/>
        <w:gridCol w:w="1216"/>
        <w:gridCol w:w="1216"/>
        <w:gridCol w:w="1216"/>
        <w:gridCol w:w="1216"/>
        <w:gridCol w:w="1216"/>
        <w:gridCol w:w="1216"/>
      </w:tblGrid>
      <w:tr w14:paraId="47D78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Align w:val="center"/>
          </w:tcPr>
          <w:p w14:paraId="17B0A2B8">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序号</w:t>
            </w:r>
          </w:p>
        </w:tc>
        <w:tc>
          <w:tcPr>
            <w:tcW w:w="1216" w:type="dxa"/>
            <w:vAlign w:val="center"/>
          </w:tcPr>
          <w:p w14:paraId="539595EE">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装置名称</w:t>
            </w:r>
          </w:p>
        </w:tc>
        <w:tc>
          <w:tcPr>
            <w:tcW w:w="1216" w:type="dxa"/>
            <w:vAlign w:val="center"/>
          </w:tcPr>
          <w:p w14:paraId="22FA8217">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装置编码</w:t>
            </w:r>
          </w:p>
        </w:tc>
        <w:tc>
          <w:tcPr>
            <w:tcW w:w="1216" w:type="dxa"/>
            <w:vAlign w:val="center"/>
          </w:tcPr>
          <w:p w14:paraId="05D2218C">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豁免原因</w:t>
            </w:r>
          </w:p>
        </w:tc>
        <w:tc>
          <w:tcPr>
            <w:tcW w:w="1216" w:type="dxa"/>
            <w:vAlign w:val="center"/>
          </w:tcPr>
          <w:p w14:paraId="4A1F48A0">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记录人</w:t>
            </w:r>
          </w:p>
        </w:tc>
        <w:tc>
          <w:tcPr>
            <w:tcW w:w="1216" w:type="dxa"/>
            <w:vAlign w:val="center"/>
          </w:tcPr>
          <w:p w14:paraId="76BA9E11">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记录日期</w:t>
            </w:r>
          </w:p>
        </w:tc>
        <w:tc>
          <w:tcPr>
            <w:tcW w:w="1216" w:type="dxa"/>
            <w:vAlign w:val="center"/>
          </w:tcPr>
          <w:p w14:paraId="70DA3BC9">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审核人</w:t>
            </w:r>
          </w:p>
        </w:tc>
        <w:tc>
          <w:tcPr>
            <w:tcW w:w="1216" w:type="dxa"/>
            <w:vAlign w:val="center"/>
          </w:tcPr>
          <w:p w14:paraId="24737B1E">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审核日期</w:t>
            </w:r>
          </w:p>
        </w:tc>
      </w:tr>
      <w:tr w14:paraId="584A2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16" w:type="dxa"/>
            <w:vAlign w:val="center"/>
          </w:tcPr>
          <w:p w14:paraId="77FF628D">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1</w:t>
            </w:r>
          </w:p>
        </w:tc>
        <w:tc>
          <w:tcPr>
            <w:tcW w:w="1216" w:type="dxa"/>
            <w:vAlign w:val="center"/>
          </w:tcPr>
          <w:p w14:paraId="023646BA">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新材料二装置</w:t>
            </w:r>
          </w:p>
        </w:tc>
        <w:tc>
          <w:tcPr>
            <w:tcW w:w="1216" w:type="dxa"/>
            <w:vAlign w:val="center"/>
          </w:tcPr>
          <w:p w14:paraId="43B72336">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XXCLE0</w:t>
            </w:r>
          </w:p>
        </w:tc>
        <w:tc>
          <w:tcPr>
            <w:tcW w:w="1216" w:type="dxa"/>
            <w:vAlign w:val="center"/>
          </w:tcPr>
          <w:p w14:paraId="63CD302D">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停工</w:t>
            </w:r>
          </w:p>
        </w:tc>
        <w:tc>
          <w:tcPr>
            <w:tcW w:w="1216" w:type="dxa"/>
            <w:vAlign w:val="center"/>
          </w:tcPr>
          <w:p w14:paraId="24DA3A7A">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许明星</w:t>
            </w:r>
          </w:p>
        </w:tc>
        <w:tc>
          <w:tcPr>
            <w:tcW w:w="1216" w:type="dxa"/>
            <w:vAlign w:val="center"/>
          </w:tcPr>
          <w:p w14:paraId="7EBF8C4D">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2024年09月20日</w:t>
            </w:r>
          </w:p>
        </w:tc>
        <w:tc>
          <w:tcPr>
            <w:tcW w:w="1216" w:type="dxa"/>
            <w:vAlign w:val="center"/>
          </w:tcPr>
          <w:p w14:paraId="7052F2CE">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李浩男</w:t>
            </w:r>
          </w:p>
        </w:tc>
        <w:tc>
          <w:tcPr>
            <w:tcW w:w="1216" w:type="dxa"/>
            <w:vAlign w:val="center"/>
          </w:tcPr>
          <w:p w14:paraId="7C69637B">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2024年09月20日</w:t>
            </w:r>
          </w:p>
        </w:tc>
      </w:tr>
      <w:tr w14:paraId="77F0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16" w:type="dxa"/>
            <w:vAlign w:val="center"/>
          </w:tcPr>
          <w:p w14:paraId="69B82E6E">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2</w:t>
            </w:r>
          </w:p>
        </w:tc>
        <w:tc>
          <w:tcPr>
            <w:tcW w:w="1216" w:type="dxa"/>
            <w:vAlign w:val="center"/>
          </w:tcPr>
          <w:p w14:paraId="2F5371B8">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中试装置</w:t>
            </w:r>
          </w:p>
        </w:tc>
        <w:tc>
          <w:tcPr>
            <w:tcW w:w="1216" w:type="dxa"/>
            <w:vAlign w:val="center"/>
          </w:tcPr>
          <w:p w14:paraId="3426712D">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XXXZS0</w:t>
            </w:r>
          </w:p>
        </w:tc>
        <w:tc>
          <w:tcPr>
            <w:tcW w:w="1216" w:type="dxa"/>
            <w:vAlign w:val="center"/>
          </w:tcPr>
          <w:p w14:paraId="29AC1640">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停工</w:t>
            </w:r>
          </w:p>
        </w:tc>
        <w:tc>
          <w:tcPr>
            <w:tcW w:w="1216" w:type="dxa"/>
            <w:vAlign w:val="center"/>
          </w:tcPr>
          <w:p w14:paraId="61A89E7C">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许明星</w:t>
            </w:r>
          </w:p>
        </w:tc>
        <w:tc>
          <w:tcPr>
            <w:tcW w:w="1216" w:type="dxa"/>
            <w:vAlign w:val="center"/>
          </w:tcPr>
          <w:p w14:paraId="142D96F7">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2024年09月20日</w:t>
            </w:r>
          </w:p>
        </w:tc>
        <w:tc>
          <w:tcPr>
            <w:tcW w:w="1216" w:type="dxa"/>
            <w:vAlign w:val="center"/>
          </w:tcPr>
          <w:p w14:paraId="25EFFE92">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李浩男</w:t>
            </w:r>
          </w:p>
        </w:tc>
        <w:tc>
          <w:tcPr>
            <w:tcW w:w="1216" w:type="dxa"/>
            <w:vAlign w:val="center"/>
          </w:tcPr>
          <w:p w14:paraId="3181A850">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2024年09月20日</w:t>
            </w:r>
          </w:p>
        </w:tc>
      </w:tr>
    </w:tbl>
    <w:p w14:paraId="6B4BAB4B">
      <w:pPr>
        <w:pStyle w:val="6"/>
        <w:rPr>
          <w:rFonts w:hint="eastAsia" w:asciiTheme="majorEastAsia" w:hAnsiTheme="majorEastAsia" w:eastAsiaTheme="majorEastAsia" w:cstheme="majorEastAsia"/>
          <w:b w:val="0"/>
          <w:bCs w:val="0"/>
          <w:color w:val="000000"/>
          <w:kern w:val="0"/>
          <w:sz w:val="21"/>
          <w:szCs w:val="21"/>
          <w:u w:val="none"/>
          <w:lang w:val="en-US" w:eastAsia="zh-CN" w:bidi="ar-SA"/>
        </w:rPr>
      </w:pPr>
    </w:p>
    <w:p w14:paraId="6CC9C33C">
      <w:pPr>
        <w:rPr>
          <w:rFonts w:hint="eastAsia" w:asciiTheme="majorEastAsia" w:hAnsiTheme="majorEastAsia" w:eastAsiaTheme="majorEastAsia" w:cstheme="majorEastAsia"/>
          <w:lang w:val="en-US" w:eastAsia="zh-CN"/>
        </w:rPr>
      </w:pPr>
    </w:p>
    <w:p w14:paraId="3A207A67">
      <w:pPr>
        <w:pStyle w:val="4"/>
        <w:numPr>
          <w:ilvl w:val="1"/>
          <w:numId w:val="0"/>
        </w:numPr>
        <w:bidi w:val="0"/>
        <w:ind w:leftChars="0"/>
        <w:rPr>
          <w:rFonts w:hint="eastAsia" w:asciiTheme="majorEastAsia" w:hAnsiTheme="majorEastAsia" w:eastAsiaTheme="majorEastAsia" w:cstheme="majorEastAsia"/>
          <w:lang w:val="en-US" w:eastAsia="zh-CN"/>
        </w:rPr>
      </w:pPr>
      <w:bookmarkStart w:id="53" w:name="_Toc25871"/>
      <w:r>
        <w:rPr>
          <w:rFonts w:hint="eastAsia" w:asciiTheme="majorEastAsia" w:hAnsiTheme="majorEastAsia" w:eastAsiaTheme="majorEastAsia" w:cstheme="majorEastAsia"/>
          <w:lang w:val="en-US" w:eastAsia="zh-CN"/>
        </w:rPr>
        <w:t>2.6装置适合性分析</w:t>
      </w:r>
      <w:bookmarkEnd w:id="53"/>
    </w:p>
    <w:p w14:paraId="244AA6BB">
      <w:pPr>
        <w:pStyle w:val="6"/>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逐一分析各受控装置内设备或管线的物料，辨识接触或流经涉VOCs 物料的设备或管线。任何时</w:t>
      </w:r>
      <w:r>
        <w:rPr>
          <w:rFonts w:hint="eastAsia" w:asciiTheme="majorEastAsia" w:hAnsiTheme="majorEastAsia" w:eastAsiaTheme="majorEastAsia" w:cstheme="majorEastAsia"/>
          <w:spacing w:val="11"/>
          <w:sz w:val="21"/>
          <w:szCs w:val="21"/>
        </w:rPr>
        <w:t>间不含涉</w:t>
      </w:r>
      <w:r>
        <w:rPr>
          <w:rFonts w:hint="eastAsia" w:asciiTheme="majorEastAsia" w:hAnsiTheme="majorEastAsia" w:eastAsiaTheme="majorEastAsia" w:cstheme="majorEastAsia"/>
          <w:sz w:val="21"/>
          <w:szCs w:val="21"/>
        </w:rPr>
        <w:t xml:space="preserve">VOCs </w:t>
      </w:r>
      <w:r>
        <w:rPr>
          <w:rFonts w:hint="eastAsia" w:asciiTheme="majorEastAsia" w:hAnsiTheme="majorEastAsia" w:eastAsiaTheme="majorEastAsia" w:cstheme="majorEastAsia"/>
          <w:spacing w:val="-9"/>
          <w:sz w:val="21"/>
          <w:szCs w:val="21"/>
        </w:rPr>
        <w:t xml:space="preserve">物料的设备，为非受控设备。否则应纳入 </w:t>
      </w:r>
      <w:r>
        <w:rPr>
          <w:rFonts w:hint="eastAsia" w:asciiTheme="majorEastAsia" w:hAnsiTheme="majorEastAsia" w:eastAsiaTheme="majorEastAsia" w:cstheme="majorEastAsia"/>
          <w:sz w:val="21"/>
          <w:szCs w:val="21"/>
        </w:rPr>
        <w:t xml:space="preserve">LDAR </w:t>
      </w:r>
      <w:r>
        <w:rPr>
          <w:rFonts w:hint="eastAsia" w:asciiTheme="majorEastAsia" w:hAnsiTheme="majorEastAsia" w:eastAsiaTheme="majorEastAsia" w:cstheme="majorEastAsia"/>
          <w:spacing w:val="-5"/>
          <w:sz w:val="21"/>
          <w:szCs w:val="21"/>
        </w:rPr>
        <w:t>实施范围。通过物料平衡表或操作手</w:t>
      </w:r>
      <w:r>
        <w:rPr>
          <w:rFonts w:hint="eastAsia" w:asciiTheme="majorEastAsia" w:hAnsiTheme="majorEastAsia" w:eastAsiaTheme="majorEastAsia" w:cstheme="majorEastAsia"/>
          <w:spacing w:val="1"/>
          <w:sz w:val="21"/>
          <w:szCs w:val="21"/>
        </w:rPr>
        <w:t>册，宜核算设备、管线内</w:t>
      </w:r>
      <w:r>
        <w:rPr>
          <w:rFonts w:hint="eastAsia" w:asciiTheme="majorEastAsia" w:hAnsiTheme="majorEastAsia" w:eastAsiaTheme="majorEastAsia" w:cstheme="majorEastAsia"/>
          <w:sz w:val="21"/>
          <w:szCs w:val="21"/>
        </w:rPr>
        <w:t>TOC</w:t>
      </w:r>
      <w:r>
        <w:rPr>
          <w:rFonts w:hint="eastAsia" w:asciiTheme="majorEastAsia" w:hAnsiTheme="majorEastAsia" w:eastAsiaTheme="majorEastAsia" w:cstheme="majorEastAsia"/>
          <w:spacing w:val="-3"/>
          <w:sz w:val="21"/>
          <w:szCs w:val="21"/>
        </w:rPr>
        <w:t>、</w:t>
      </w:r>
      <w:r>
        <w:rPr>
          <w:rFonts w:hint="eastAsia" w:asciiTheme="majorEastAsia" w:hAnsiTheme="majorEastAsia" w:eastAsiaTheme="majorEastAsia" w:cstheme="majorEastAsia"/>
          <w:sz w:val="21"/>
          <w:szCs w:val="21"/>
        </w:rPr>
        <w:t xml:space="preserve">VOCs </w:t>
      </w:r>
      <w:r>
        <w:rPr>
          <w:rFonts w:hint="eastAsia" w:asciiTheme="majorEastAsia" w:hAnsiTheme="majorEastAsia" w:eastAsiaTheme="majorEastAsia" w:cstheme="majorEastAsia"/>
          <w:spacing w:val="-3"/>
          <w:sz w:val="21"/>
          <w:szCs w:val="21"/>
        </w:rPr>
        <w:t>和甲烷质量分数。对于组分及含量随时间变化的设备管线，宜</w:t>
      </w:r>
      <w:r>
        <w:rPr>
          <w:rFonts w:hint="eastAsia" w:asciiTheme="majorEastAsia" w:hAnsiTheme="majorEastAsia" w:eastAsiaTheme="majorEastAsia" w:cstheme="majorEastAsia"/>
          <w:spacing w:val="-14"/>
          <w:sz w:val="21"/>
          <w:szCs w:val="21"/>
        </w:rPr>
        <w:t>取受控期间质量分数的平均值。除本条款规定的豁免设备外，所有受控设备均应纳入</w:t>
      </w:r>
      <w:r>
        <w:rPr>
          <w:rFonts w:hint="eastAsia" w:asciiTheme="majorEastAsia" w:hAnsiTheme="majorEastAsia" w:eastAsiaTheme="majorEastAsia" w:cstheme="majorEastAsia"/>
          <w:sz w:val="21"/>
          <w:szCs w:val="21"/>
        </w:rPr>
        <w:t xml:space="preserve">LDAR </w:t>
      </w:r>
      <w:r>
        <w:rPr>
          <w:rFonts w:hint="eastAsia" w:asciiTheme="majorEastAsia" w:hAnsiTheme="majorEastAsia" w:eastAsiaTheme="majorEastAsia" w:cstheme="majorEastAsia"/>
          <w:spacing w:val="-3"/>
          <w:sz w:val="21"/>
          <w:szCs w:val="21"/>
        </w:rPr>
        <w:t>实施范围。符合以下条件的受控设备可以申请环保主管部门予以豁免：</w:t>
      </w:r>
    </w:p>
    <w:p w14:paraId="5D340E66">
      <w:pPr>
        <w:pStyle w:val="6"/>
        <w:keepNext w:val="0"/>
        <w:keepLines w:val="0"/>
        <w:pageBreakBefore w:val="0"/>
        <w:widowControl w:val="0"/>
        <w:kinsoku/>
        <w:wordWrap/>
        <w:overflowPunct/>
        <w:topLinePunct w:val="0"/>
        <w:autoSpaceDE/>
        <w:autoSpaceDN/>
        <w:bidi w:val="0"/>
        <w:adjustRightInd/>
        <w:snapToGrid/>
        <w:spacing w:line="400" w:lineRule="exact"/>
        <w:ind w:firstLine="416"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
          <w:sz w:val="21"/>
          <w:szCs w:val="21"/>
        </w:rPr>
        <w:t>——</w:t>
      </w:r>
      <w:r>
        <w:rPr>
          <w:rFonts w:hint="eastAsia" w:asciiTheme="majorEastAsia" w:hAnsiTheme="majorEastAsia" w:eastAsiaTheme="majorEastAsia" w:cstheme="majorEastAsia"/>
          <w:spacing w:val="-3"/>
          <w:sz w:val="21"/>
          <w:szCs w:val="21"/>
        </w:rPr>
        <w:t>正常工作处于负压状态</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pacing w:val="-3"/>
          <w:sz w:val="21"/>
          <w:szCs w:val="21"/>
        </w:rPr>
        <w:t>绝对压力低于9</w:t>
      </w:r>
      <w:r>
        <w:rPr>
          <w:rFonts w:hint="eastAsia" w:asciiTheme="majorEastAsia" w:hAnsiTheme="majorEastAsia" w:eastAsiaTheme="majorEastAsia" w:cstheme="majorEastAsia"/>
          <w:sz w:val="21"/>
          <w:szCs w:val="21"/>
        </w:rPr>
        <w:t>6.3</w:t>
      </w:r>
      <w:r>
        <w:rPr>
          <w:rFonts w:hint="eastAsia" w:asciiTheme="majorEastAsia" w:hAnsiTheme="majorEastAsia" w:eastAsiaTheme="majorEastAsia" w:cstheme="majorEastAsia"/>
          <w:spacing w:val="-3"/>
          <w:sz w:val="21"/>
          <w:szCs w:val="21"/>
        </w:rPr>
        <w:t>k</w:t>
      </w:r>
      <w:r>
        <w:rPr>
          <w:rFonts w:hint="eastAsia" w:asciiTheme="majorEastAsia" w:hAnsiTheme="majorEastAsia" w:eastAsiaTheme="majorEastAsia" w:cstheme="majorEastAsia"/>
          <w:sz w:val="21"/>
          <w:szCs w:val="21"/>
        </w:rPr>
        <w:t>P</w:t>
      </w:r>
      <w:r>
        <w:rPr>
          <w:rFonts w:hint="eastAsia" w:asciiTheme="majorEastAsia" w:hAnsiTheme="majorEastAsia" w:eastAsiaTheme="majorEastAsia" w:cstheme="majorEastAsia"/>
          <w:spacing w:val="-3"/>
          <w:sz w:val="21"/>
          <w:szCs w:val="21"/>
        </w:rPr>
        <w:t>a</w:t>
      </w:r>
      <w:r>
        <w:rPr>
          <w:rFonts w:hint="eastAsia" w:asciiTheme="majorEastAsia" w:hAnsiTheme="majorEastAsia" w:eastAsiaTheme="majorEastAsia" w:cstheme="majorEastAsia"/>
          <w:spacing w:val="-106"/>
          <w:sz w:val="21"/>
          <w:szCs w:val="21"/>
        </w:rPr>
        <w:t>）；</w:t>
      </w:r>
    </w:p>
    <w:p w14:paraId="0DC30A3D">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——仅在开停工、故障、应急响应或临时投用期间接触涉VOCs 物料的设备，且一年接触时间不超过 15 日。</w:t>
      </w:r>
    </w:p>
    <w:p w14:paraId="5F5D6650">
      <w:pPr>
        <w:rPr>
          <w:rFonts w:hint="eastAsia" w:asciiTheme="majorEastAsia" w:hAnsiTheme="majorEastAsia" w:eastAsiaTheme="majorEastAsia" w:cstheme="majorEastAsia"/>
        </w:rPr>
      </w:pPr>
    </w:p>
    <w:p w14:paraId="575580B7">
      <w:pPr>
        <w:rPr>
          <w:rFonts w:hint="eastAsia" w:asciiTheme="majorEastAsia" w:hAnsiTheme="majorEastAsia" w:eastAsiaTheme="majorEastAsia" w:cstheme="majorEastAsia"/>
          <w:lang w:val="en-US" w:eastAsia="zh-CN"/>
        </w:rPr>
      </w:pPr>
    </w:p>
    <w:p w14:paraId="78F5D0B3">
      <w:pPr>
        <w:pStyle w:val="4"/>
        <w:numPr>
          <w:ilvl w:val="1"/>
          <w:numId w:val="0"/>
        </w:numPr>
        <w:bidi w:val="0"/>
        <w:ind w:leftChars="0"/>
        <w:rPr>
          <w:rFonts w:hint="eastAsia" w:asciiTheme="majorEastAsia" w:hAnsiTheme="majorEastAsia" w:eastAsiaTheme="majorEastAsia" w:cstheme="majorEastAsia"/>
          <w:lang w:val="en-US" w:eastAsia="zh-CN"/>
        </w:rPr>
      </w:pPr>
      <w:bookmarkStart w:id="54" w:name="_Toc12514"/>
      <w:r>
        <w:rPr>
          <w:rFonts w:hint="eastAsia" w:asciiTheme="majorEastAsia" w:hAnsiTheme="majorEastAsia" w:eastAsiaTheme="majorEastAsia" w:cstheme="majorEastAsia"/>
          <w:lang w:val="en-US" w:eastAsia="zh-CN"/>
        </w:rPr>
        <w:t>2.7响应因子分析</w:t>
      </w:r>
      <w:bookmarkEnd w:id="54"/>
    </w:p>
    <w:p w14:paraId="69D86D9E">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检测仪器使用甲烷校正。然而，检测仪器对很多不同的化合物响应，敏感度也不尽相同。为了将分析仪的读数从甲烷 μmol/mol 调整到相关的化合物的μmol/mol，必须使用修正因子。这个修正因子我们称之为“响应因子”。</w:t>
      </w:r>
    </w:p>
    <w:p w14:paraId="5167DED2">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一个装置的流包含多种产品，每一种又有着不同的理化特性，因此挥发性有机气体分析仪要获得准确的 μmol/mol 读数，要有不同的响应因子。</w:t>
      </w:r>
    </w:p>
    <w:p w14:paraId="5773433B">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p>
    <w:p w14:paraId="6552ACA8">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按照《工业企业挥发性有机物检测与修复技术指南》（HJ 1230—2021）对响应因子进行修正</w:t>
      </w:r>
    </w:p>
    <w:p w14:paraId="487FCA91">
      <w:pPr>
        <w:pStyle w:val="6"/>
        <w:keepNext w:val="0"/>
        <w:keepLines w:val="0"/>
        <w:pageBreakBefore w:val="0"/>
        <w:widowControl w:val="0"/>
        <w:kinsoku/>
        <w:wordWrap/>
        <w:overflowPunct/>
        <w:topLinePunct w:val="0"/>
        <w:autoSpaceDE/>
        <w:autoSpaceDN/>
        <w:bidi w:val="0"/>
        <w:adjustRightInd/>
        <w:snapToGrid/>
        <w:spacing w:before="43" w:line="400" w:lineRule="exact"/>
        <w:ind w:right="219"/>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响应因子获取：</w:t>
      </w:r>
    </w:p>
    <w:p w14:paraId="4786ECBD">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响应因子获取途径包括但不限于： </w:t>
      </w:r>
    </w:p>
    <w:p w14:paraId="33D37C01">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a） VOCs 物料为单一组分，可查阅检测仪器说明书或依据 《泄漏和敞开液面排放的挥发性有机物检测技术导则》（HJ733—2014）规定的方法，确定该组分 500 µmol/mol～2000 µmol/mol 范围内任一浓度下的响应因子，作为该物料的响应因子。 </w:t>
      </w:r>
    </w:p>
    <w:p w14:paraId="60F678B2">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b） VOCs 物料为多组分，采用《工业企业挥发性有机物检测与修复技术指南》（HJ 1230—2021） 6.1.3.2 条中方法 a）获得各组分的响应因子，按式（1）计算该物料的响应因子。 </w:t>
      </w:r>
    </w:p>
    <w:p w14:paraId="175B202D">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drawing>
          <wp:anchor distT="0" distB="0" distL="114300" distR="114300" simplePos="0" relativeHeight="251664384" behindDoc="1" locked="0" layoutInCell="1" allowOverlap="1">
            <wp:simplePos x="0" y="0"/>
            <wp:positionH relativeFrom="column">
              <wp:posOffset>1543050</wp:posOffset>
            </wp:positionH>
            <wp:positionV relativeFrom="paragraph">
              <wp:posOffset>62865</wp:posOffset>
            </wp:positionV>
            <wp:extent cx="1409700" cy="697865"/>
            <wp:effectExtent l="0" t="0" r="0" b="6985"/>
            <wp:wrapTight wrapText="bothSides">
              <wp:wrapPolygon>
                <wp:start x="0" y="0"/>
                <wp:lineTo x="0" y="21227"/>
                <wp:lineTo x="21308" y="21227"/>
                <wp:lineTo x="21308" y="0"/>
                <wp:lineTo x="0" y="0"/>
              </wp:wrapPolygon>
            </wp:wrapTight>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16"/>
                    <a:stretch>
                      <a:fillRect/>
                    </a:stretch>
                  </pic:blipFill>
                  <pic:spPr>
                    <a:xfrm>
                      <a:off x="0" y="0"/>
                      <a:ext cx="1409700" cy="697865"/>
                    </a:xfrm>
                    <a:prstGeom prst="rect">
                      <a:avLst/>
                    </a:prstGeom>
                    <a:noFill/>
                    <a:ln>
                      <a:noFill/>
                    </a:ln>
                  </pic:spPr>
                </pic:pic>
              </a:graphicData>
            </a:graphic>
          </wp:anchor>
        </w:drawing>
      </w:r>
    </w:p>
    <w:p w14:paraId="76173B62">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                                                        （1）</w:t>
      </w:r>
    </w:p>
    <w:p w14:paraId="0396E53A">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p>
    <w:p w14:paraId="07A211E7">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式中：RFm——物料合成响应因子； </w:t>
      </w:r>
    </w:p>
    <w:p w14:paraId="010AAC52">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xi——组分 i 的摩尔分数； </w:t>
      </w:r>
    </w:p>
    <w:p w14:paraId="07344E70">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RFi——组分 i 的响应因子； </w:t>
      </w:r>
    </w:p>
    <w:p w14:paraId="6CB53D10">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n——物料中 VOCs 的组分数。</w:t>
      </w:r>
    </w:p>
    <w:p w14:paraId="648D437B">
      <w:pPr>
        <w:pStyle w:val="6"/>
        <w:keepNext w:val="0"/>
        <w:keepLines w:val="0"/>
        <w:pageBreakBefore w:val="0"/>
        <w:widowControl w:val="0"/>
        <w:kinsoku/>
        <w:wordWrap/>
        <w:overflowPunct/>
        <w:topLinePunct w:val="0"/>
        <w:autoSpaceDE/>
        <w:autoSpaceDN/>
        <w:bidi w:val="0"/>
        <w:adjustRightInd/>
        <w:snapToGrid/>
        <w:spacing w:before="43" w:line="400" w:lineRule="exact"/>
        <w:ind w:right="219"/>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响应因子应用：</w:t>
      </w:r>
    </w:p>
    <w:p w14:paraId="6CF42DD8">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按以下规则应用响应因子： </w:t>
      </w:r>
    </w:p>
    <w:p w14:paraId="03C55501">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a） RFm≤10，按以下情况进行应用： </w:t>
      </w:r>
    </w:p>
    <w:p w14:paraId="48BCB32D">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——RFm≤3，泄漏检测值无需修正； </w:t>
      </w:r>
    </w:p>
    <w:p w14:paraId="46F06551">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——3＜RFm≤10，则根据式（2）修正泄漏检测值；</w:t>
      </w:r>
    </w:p>
    <w:p w14:paraId="13F992EA">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drawing>
          <wp:anchor distT="0" distB="0" distL="114300" distR="114300" simplePos="0" relativeHeight="251665408" behindDoc="1" locked="0" layoutInCell="1" allowOverlap="1">
            <wp:simplePos x="0" y="0"/>
            <wp:positionH relativeFrom="column">
              <wp:posOffset>1524000</wp:posOffset>
            </wp:positionH>
            <wp:positionV relativeFrom="paragraph">
              <wp:posOffset>26670</wp:posOffset>
            </wp:positionV>
            <wp:extent cx="1162050" cy="268605"/>
            <wp:effectExtent l="0" t="0" r="0" b="17145"/>
            <wp:wrapTight wrapText="bothSides">
              <wp:wrapPolygon>
                <wp:start x="0" y="0"/>
                <wp:lineTo x="0" y="19915"/>
                <wp:lineTo x="21246" y="19915"/>
                <wp:lineTo x="21246" y="0"/>
                <wp:lineTo x="0" y="0"/>
              </wp:wrapPolygon>
            </wp:wrapTight>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r:embed="rId17"/>
                    <a:stretch>
                      <a:fillRect/>
                    </a:stretch>
                  </pic:blipFill>
                  <pic:spPr>
                    <a:xfrm>
                      <a:off x="0" y="0"/>
                      <a:ext cx="1162050" cy="268605"/>
                    </a:xfrm>
                    <a:prstGeom prst="rect">
                      <a:avLst/>
                    </a:prstGeom>
                    <a:noFill/>
                    <a:ln>
                      <a:noFill/>
                    </a:ln>
                  </pic:spPr>
                </pic:pic>
              </a:graphicData>
            </a:graphic>
          </wp:anchor>
        </w:drawing>
      </w:r>
      <w:r>
        <w:rPr>
          <w:rFonts w:hint="eastAsia" w:asciiTheme="majorEastAsia" w:hAnsiTheme="majorEastAsia" w:eastAsiaTheme="majorEastAsia" w:cstheme="majorEastAsia"/>
          <w:color w:val="auto"/>
          <w:sz w:val="21"/>
          <w:szCs w:val="21"/>
          <w:lang w:val="en-US" w:eastAsia="zh-CN"/>
        </w:rPr>
        <w:t xml:space="preserve">                                                                                        （2）</w:t>
      </w:r>
    </w:p>
    <w:p w14:paraId="487F1399">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式中：SVm——经过响应因子修正后的泄漏检测值，µmol/mol； </w:t>
      </w:r>
    </w:p>
    <w:p w14:paraId="27E9DCC4">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SV——密封点泄漏检测值，µmol/mol； </w:t>
      </w:r>
    </w:p>
    <w:p w14:paraId="18BA5B4B">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RFm——物料合成响应因子。 </w:t>
      </w:r>
    </w:p>
    <w:p w14:paraId="7ECBD40E">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b） RFm＞10，选择物料中 RFm＞10 的组分或响应特性相近组分的气体标准物质为校准气体，按 3.3.1 条得出响应因子，直到物料响应因子 RFm≤10，按照 6.1.3.2 条中方法 a）应用。 </w:t>
      </w:r>
    </w:p>
    <w:p w14:paraId="77C833D4">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c） 不在仪器制造商提供的响应因子清单中，且无法获取到相应气体标准物质的 VOCs 物料，可暂 不应用响应因子。</w:t>
      </w:r>
    </w:p>
    <w:p w14:paraId="2A97A94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响应因子由检测设备生产厂家提供。如果仅有一种化合物，响应因子可以用来修正该化合物的响应。如果是化合物的混合物，氢火焰离子检测仪会对混合物的所有组分响应，并不能区分组分。如果混合物的组成已知，响应因子可以通过各个组分的响应因子加权计算得到。</w:t>
      </w:r>
    </w:p>
    <w:p w14:paraId="5B90799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在确定流和建立数据库期间，检测设备的每种化合物的响应因子要输入到LDAR 专家管理系统软件，计算得出混合物的响应因子，并制成响应因子表单，提供给现场技术人员，以保证现场检测设备读数精准。</w:t>
      </w:r>
    </w:p>
    <w:p w14:paraId="0EA50A0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 xml:space="preserve">石油炼制工业生产装置可不考虑响应因子对检测值的影响；石油化工生产装置应根据物料中 VOCs 的组成确定响应因子。根据物料中 VOCs 的组成确定响应因子。物料分析及响应因子如下： </w:t>
      </w:r>
    </w:p>
    <w:p w14:paraId="3212D58C">
      <w:pPr>
        <w:pStyle w:val="2"/>
        <w:rPr>
          <w:rFonts w:hint="eastAsia" w:asciiTheme="majorEastAsia" w:hAnsiTheme="majorEastAsia" w:eastAsiaTheme="majorEastAsia" w:cstheme="majorEastAsia"/>
        </w:rPr>
      </w:pPr>
    </w:p>
    <w:tbl>
      <w:tblPr>
        <w:tblStyle w:val="13"/>
        <w:tblW w:w="5000" w:type="pct"/>
        <w:jc w:val="center"/>
        <w:tblLayout w:type="autofit"/>
        <w:tblCellMar>
          <w:top w:w="15" w:type="dxa"/>
          <w:left w:w="15" w:type="dxa"/>
          <w:bottom w:w="15" w:type="dxa"/>
          <w:right w:w="15" w:type="dxa"/>
        </w:tblCellMar>
      </w:tblPr>
      <w:tblGrid>
        <w:gridCol w:w="829"/>
        <w:gridCol w:w="1859"/>
        <w:gridCol w:w="2322"/>
        <w:gridCol w:w="2319"/>
        <w:gridCol w:w="2339"/>
      </w:tblGrid>
      <w:tr w14:paraId="2E779F94">
        <w:tblPrEx>
          <w:tblCellMar>
            <w:top w:w="15" w:type="dxa"/>
            <w:left w:w="15" w:type="dxa"/>
            <w:bottom w:w="15" w:type="dxa"/>
            <w:right w:w="15" w:type="dxa"/>
          </w:tblCellMar>
        </w:tblPrEx>
        <w:trPr>
          <w:trHeight w:val="423" w:hRule="atLeast"/>
          <w:jc w:val="center"/>
        </w:trPr>
        <w:tc>
          <w:tcPr>
            <w:tcW w:w="9668" w:type="dxa"/>
            <w:gridSpan w:val="5"/>
            <w:tcBorders>
              <w:bottom w:val="single" w:color="000000" w:sz="12" w:space="0"/>
            </w:tcBorders>
            <w:vAlign w:val="center"/>
          </w:tcPr>
          <w:p w14:paraId="1B82DEF0">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sz w:val="24"/>
                <w:szCs w:val="24"/>
                <w:lang w:val="en-US" w:eastAsia="zh-CN"/>
              </w:rPr>
              <w:t>仪器检测使用响应因子分析</w:t>
            </w:r>
          </w:p>
        </w:tc>
      </w:tr>
      <w:tr w14:paraId="1181FF08">
        <w:tblPrEx>
          <w:tblCellMar>
            <w:top w:w="15" w:type="dxa"/>
            <w:left w:w="15" w:type="dxa"/>
            <w:bottom w:w="15" w:type="dxa"/>
            <w:right w:w="15" w:type="dxa"/>
          </w:tblCellMar>
        </w:tblPrEx>
        <w:trPr>
          <w:trHeight w:val="512" w:hRule="atLeast"/>
          <w:jc w:val="center"/>
        </w:trPr>
        <w:tc>
          <w:tcPr>
            <w:tcW w:w="829" w:type="dxa"/>
            <w:vMerge w:val="restart"/>
            <w:tcBorders>
              <w:top w:val="single" w:color="000000" w:sz="12" w:space="0"/>
              <w:left w:val="single" w:color="000000" w:sz="12" w:space="0"/>
              <w:bottom w:val="single" w:color="000000" w:sz="4" w:space="0"/>
              <w:right w:val="single" w:color="000000" w:sz="4" w:space="0"/>
            </w:tcBorders>
            <w:vAlign w:val="center"/>
          </w:tcPr>
          <w:p w14:paraId="2700FB31">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序号</w:t>
            </w:r>
          </w:p>
          <w:p w14:paraId="270A756F">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859" w:type="dxa"/>
            <w:vMerge w:val="restart"/>
            <w:tcBorders>
              <w:top w:val="single" w:color="000000" w:sz="12" w:space="0"/>
              <w:left w:val="single" w:color="000000" w:sz="4" w:space="0"/>
              <w:bottom w:val="single" w:color="000000" w:sz="4" w:space="0"/>
              <w:right w:val="single" w:color="000000" w:sz="4" w:space="0"/>
            </w:tcBorders>
            <w:vAlign w:val="center"/>
          </w:tcPr>
          <w:p w14:paraId="7A2795E7">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物料介质</w:t>
            </w:r>
          </w:p>
          <w:p w14:paraId="7A7C3938">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4641" w:type="dxa"/>
            <w:gridSpan w:val="2"/>
            <w:tcBorders>
              <w:top w:val="single" w:color="000000" w:sz="12" w:space="0"/>
              <w:left w:val="single" w:color="000000" w:sz="4" w:space="0"/>
              <w:bottom w:val="single" w:color="000000" w:sz="4" w:space="0"/>
              <w:right w:val="single" w:color="000000" w:sz="4" w:space="0"/>
            </w:tcBorders>
            <w:vAlign w:val="center"/>
          </w:tcPr>
          <w:p w14:paraId="2FD37687">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响应因子</w:t>
            </w:r>
          </w:p>
        </w:tc>
        <w:tc>
          <w:tcPr>
            <w:tcW w:w="2339" w:type="dxa"/>
            <w:vMerge w:val="restart"/>
            <w:tcBorders>
              <w:top w:val="single" w:color="000000" w:sz="12" w:space="0"/>
              <w:left w:val="single" w:color="000000" w:sz="4" w:space="0"/>
              <w:bottom w:val="single" w:color="000000" w:sz="4" w:space="0"/>
              <w:right w:val="single" w:color="000000" w:sz="12" w:space="0"/>
            </w:tcBorders>
            <w:vAlign w:val="center"/>
          </w:tcPr>
          <w:p w14:paraId="46C87124">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是否数据修正</w:t>
            </w:r>
          </w:p>
          <w:p w14:paraId="19043DEB">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r>
      <w:tr w14:paraId="7703A2AD">
        <w:tblPrEx>
          <w:tblCellMar>
            <w:top w:w="15" w:type="dxa"/>
            <w:left w:w="15" w:type="dxa"/>
            <w:bottom w:w="15" w:type="dxa"/>
            <w:right w:w="15" w:type="dxa"/>
          </w:tblCellMar>
        </w:tblPrEx>
        <w:trPr>
          <w:trHeight w:val="525" w:hRule="atLeast"/>
          <w:jc w:val="center"/>
        </w:trPr>
        <w:tc>
          <w:tcPr>
            <w:tcW w:w="829" w:type="dxa"/>
            <w:vMerge w:val="continue"/>
            <w:tcBorders>
              <w:top w:val="single" w:color="000000" w:sz="4" w:space="0"/>
              <w:left w:val="single" w:color="000000" w:sz="12" w:space="0"/>
              <w:bottom w:val="single" w:color="000000" w:sz="4" w:space="0"/>
              <w:right w:val="single" w:color="000000" w:sz="4" w:space="0"/>
            </w:tcBorders>
            <w:vAlign w:val="center"/>
          </w:tcPr>
          <w:p w14:paraId="3CA6F033">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859" w:type="dxa"/>
            <w:vMerge w:val="continue"/>
            <w:tcBorders>
              <w:top w:val="single" w:color="000000" w:sz="4" w:space="0"/>
              <w:left w:val="single" w:color="000000" w:sz="4" w:space="0"/>
              <w:bottom w:val="single" w:color="000000" w:sz="4" w:space="0"/>
              <w:right w:val="single" w:color="000000" w:sz="4" w:space="0"/>
            </w:tcBorders>
            <w:vAlign w:val="center"/>
          </w:tcPr>
          <w:p w14:paraId="3733FCDD">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2322" w:type="dxa"/>
            <w:tcBorders>
              <w:top w:val="single" w:color="000000" w:sz="4" w:space="0"/>
              <w:left w:val="single" w:color="000000" w:sz="4" w:space="0"/>
              <w:bottom w:val="single" w:color="000000" w:sz="4" w:space="0"/>
              <w:right w:val="single" w:color="000000" w:sz="4" w:space="0"/>
            </w:tcBorders>
            <w:vAlign w:val="center"/>
          </w:tcPr>
          <w:p w14:paraId="6181E0C2">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0-10000umol/mol</w:t>
            </w:r>
          </w:p>
        </w:tc>
        <w:tc>
          <w:tcPr>
            <w:tcW w:w="2319" w:type="dxa"/>
            <w:tcBorders>
              <w:top w:val="single" w:color="000000" w:sz="4" w:space="0"/>
              <w:left w:val="single" w:color="000000" w:sz="4" w:space="0"/>
              <w:bottom w:val="single" w:color="000000" w:sz="4" w:space="0"/>
              <w:right w:val="single" w:color="000000" w:sz="4" w:space="0"/>
            </w:tcBorders>
            <w:vAlign w:val="center"/>
          </w:tcPr>
          <w:p w14:paraId="4EA842B4">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＞10000umol/mol</w:t>
            </w:r>
          </w:p>
        </w:tc>
        <w:tc>
          <w:tcPr>
            <w:tcW w:w="2339" w:type="dxa"/>
            <w:vMerge w:val="continue"/>
            <w:tcBorders>
              <w:top w:val="single" w:color="000000" w:sz="4" w:space="0"/>
              <w:left w:val="single" w:color="000000" w:sz="4" w:space="0"/>
              <w:bottom w:val="single" w:color="000000" w:sz="4" w:space="0"/>
              <w:right w:val="single" w:color="000000" w:sz="12" w:space="0"/>
            </w:tcBorders>
            <w:vAlign w:val="center"/>
          </w:tcPr>
          <w:p w14:paraId="7DFE9690">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r>
      <w:tr w14:paraId="551624E5">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690512AF">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w:t>
            </w:r>
          </w:p>
        </w:tc>
        <w:tc>
          <w:tcPr>
            <w:tcW w:w="1859" w:type="dxa"/>
            <w:tcBorders>
              <w:top w:val="single" w:color="000000" w:sz="4" w:space="0"/>
              <w:left w:val="single" w:color="000000" w:sz="4" w:space="0"/>
              <w:bottom w:val="single" w:color="000000" w:sz="4" w:space="0"/>
              <w:right w:val="single" w:color="000000" w:sz="4" w:space="0"/>
            </w:tcBorders>
            <w:vAlign w:val="center"/>
          </w:tcPr>
          <w:p w14:paraId="0D186F23">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双甲酯</w:t>
            </w:r>
          </w:p>
        </w:tc>
        <w:tc>
          <w:tcPr>
            <w:tcW w:w="2322" w:type="dxa"/>
            <w:tcBorders>
              <w:top w:val="single" w:color="000000" w:sz="4" w:space="0"/>
              <w:left w:val="single" w:color="000000" w:sz="4" w:space="0"/>
              <w:bottom w:val="single" w:color="000000" w:sz="4" w:space="0"/>
              <w:right w:val="single" w:color="000000" w:sz="4" w:space="0"/>
            </w:tcBorders>
            <w:vAlign w:val="center"/>
          </w:tcPr>
          <w:p w14:paraId="506FCCC8">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0.85</w:t>
            </w:r>
          </w:p>
        </w:tc>
        <w:tc>
          <w:tcPr>
            <w:tcW w:w="2319" w:type="dxa"/>
            <w:tcBorders>
              <w:top w:val="single" w:color="000000" w:sz="4" w:space="0"/>
              <w:left w:val="single" w:color="000000" w:sz="4" w:space="0"/>
              <w:bottom w:val="single" w:color="000000" w:sz="4" w:space="0"/>
              <w:right w:val="single" w:color="000000" w:sz="4" w:space="0"/>
            </w:tcBorders>
            <w:vAlign w:val="center"/>
          </w:tcPr>
          <w:p w14:paraId="6B854B43">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0.85</w:t>
            </w:r>
          </w:p>
        </w:tc>
        <w:tc>
          <w:tcPr>
            <w:tcW w:w="2339" w:type="dxa"/>
            <w:tcBorders>
              <w:top w:val="single" w:color="000000" w:sz="4" w:space="0"/>
              <w:left w:val="single" w:color="000000" w:sz="4" w:space="0"/>
              <w:bottom w:val="single" w:color="000000" w:sz="4" w:space="0"/>
              <w:right w:val="single" w:color="000000" w:sz="12" w:space="0"/>
            </w:tcBorders>
            <w:vAlign w:val="center"/>
          </w:tcPr>
          <w:p w14:paraId="4282FD73">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color w:val="auto"/>
                <w:kern w:val="0"/>
                <w:sz w:val="21"/>
                <w:szCs w:val="21"/>
                <w:u w:val="none"/>
                <w:lang w:val="en-US" w:eastAsia="zh-CN" w:bidi="ar"/>
              </w:rPr>
              <w:t>否</w:t>
            </w:r>
          </w:p>
        </w:tc>
      </w:tr>
      <w:tr w14:paraId="2679CE97">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55430550">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w:t>
            </w:r>
          </w:p>
        </w:tc>
        <w:tc>
          <w:tcPr>
            <w:tcW w:w="1859" w:type="dxa"/>
            <w:tcBorders>
              <w:top w:val="single" w:color="000000" w:sz="4" w:space="0"/>
              <w:left w:val="single" w:color="000000" w:sz="4" w:space="0"/>
              <w:bottom w:val="single" w:color="000000" w:sz="4" w:space="0"/>
              <w:right w:val="single" w:color="000000" w:sz="4" w:space="0"/>
            </w:tcBorders>
            <w:vAlign w:val="center"/>
          </w:tcPr>
          <w:p w14:paraId="36548CE4">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苯乙烯</w:t>
            </w:r>
          </w:p>
        </w:tc>
        <w:tc>
          <w:tcPr>
            <w:tcW w:w="2322" w:type="dxa"/>
            <w:tcBorders>
              <w:top w:val="single" w:color="000000" w:sz="4" w:space="0"/>
              <w:left w:val="single" w:color="000000" w:sz="4" w:space="0"/>
              <w:bottom w:val="single" w:color="000000" w:sz="4" w:space="0"/>
              <w:right w:val="single" w:color="000000" w:sz="4" w:space="0"/>
            </w:tcBorders>
            <w:vAlign w:val="center"/>
          </w:tcPr>
          <w:p w14:paraId="6596130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0.35</w:t>
            </w:r>
          </w:p>
        </w:tc>
        <w:tc>
          <w:tcPr>
            <w:tcW w:w="2319" w:type="dxa"/>
            <w:tcBorders>
              <w:top w:val="single" w:color="000000" w:sz="4" w:space="0"/>
              <w:left w:val="single" w:color="000000" w:sz="4" w:space="0"/>
              <w:bottom w:val="single" w:color="000000" w:sz="4" w:space="0"/>
              <w:right w:val="single" w:color="000000" w:sz="4" w:space="0"/>
            </w:tcBorders>
            <w:vAlign w:val="center"/>
          </w:tcPr>
          <w:p w14:paraId="126F04D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0.35</w:t>
            </w:r>
          </w:p>
        </w:tc>
        <w:tc>
          <w:tcPr>
            <w:tcW w:w="2339" w:type="dxa"/>
            <w:tcBorders>
              <w:top w:val="single" w:color="000000" w:sz="4" w:space="0"/>
              <w:left w:val="single" w:color="000000" w:sz="4" w:space="0"/>
              <w:bottom w:val="single" w:color="000000" w:sz="4" w:space="0"/>
              <w:right w:val="single" w:color="000000" w:sz="12" w:space="0"/>
            </w:tcBorders>
            <w:vAlign w:val="center"/>
          </w:tcPr>
          <w:p w14:paraId="66ACB8B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否</w:t>
            </w:r>
          </w:p>
        </w:tc>
      </w:tr>
      <w:tr w14:paraId="461A653D">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6B8FC30D">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3</w:t>
            </w:r>
          </w:p>
        </w:tc>
        <w:tc>
          <w:tcPr>
            <w:tcW w:w="1859" w:type="dxa"/>
            <w:tcBorders>
              <w:top w:val="single" w:color="000000" w:sz="4" w:space="0"/>
              <w:left w:val="single" w:color="000000" w:sz="4" w:space="0"/>
              <w:bottom w:val="single" w:color="000000" w:sz="4" w:space="0"/>
              <w:right w:val="single" w:color="000000" w:sz="4" w:space="0"/>
            </w:tcBorders>
            <w:vAlign w:val="center"/>
          </w:tcPr>
          <w:p w14:paraId="2F92D7D3">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丁二烯</w:t>
            </w:r>
          </w:p>
        </w:tc>
        <w:tc>
          <w:tcPr>
            <w:tcW w:w="2322" w:type="dxa"/>
            <w:tcBorders>
              <w:top w:val="single" w:color="000000" w:sz="4" w:space="0"/>
              <w:left w:val="single" w:color="000000" w:sz="4" w:space="0"/>
              <w:bottom w:val="single" w:color="000000" w:sz="4" w:space="0"/>
              <w:right w:val="single" w:color="000000" w:sz="4" w:space="0"/>
            </w:tcBorders>
            <w:vAlign w:val="center"/>
          </w:tcPr>
          <w:p w14:paraId="78DB2445">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rPr>
            </w:pPr>
            <w:r>
              <w:rPr>
                <w:rFonts w:hint="eastAsia" w:asciiTheme="majorEastAsia" w:hAnsiTheme="majorEastAsia" w:eastAsiaTheme="majorEastAsia" w:cstheme="majorEastAsia"/>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14:paraId="4E39F094">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rPr>
            </w:pPr>
            <w:r>
              <w:rPr>
                <w:rFonts w:hint="eastAsia" w:asciiTheme="majorEastAsia" w:hAnsiTheme="majorEastAsia" w:eastAsiaTheme="majorEastAsia" w:cstheme="majorEastAsia"/>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14:paraId="20C688E6">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14:paraId="1C87A4EE">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0902332C">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4</w:t>
            </w:r>
          </w:p>
        </w:tc>
        <w:tc>
          <w:tcPr>
            <w:tcW w:w="1859" w:type="dxa"/>
            <w:tcBorders>
              <w:top w:val="single" w:color="000000" w:sz="4" w:space="0"/>
              <w:left w:val="single" w:color="000000" w:sz="4" w:space="0"/>
              <w:bottom w:val="single" w:color="000000" w:sz="4" w:space="0"/>
              <w:right w:val="single" w:color="000000" w:sz="4" w:space="0"/>
            </w:tcBorders>
            <w:vAlign w:val="center"/>
          </w:tcPr>
          <w:p w14:paraId="1DCC2458">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丁酯</w:t>
            </w:r>
          </w:p>
        </w:tc>
        <w:tc>
          <w:tcPr>
            <w:tcW w:w="2322" w:type="dxa"/>
            <w:tcBorders>
              <w:top w:val="single" w:color="000000" w:sz="4" w:space="0"/>
              <w:left w:val="single" w:color="000000" w:sz="4" w:space="0"/>
              <w:bottom w:val="single" w:color="000000" w:sz="4" w:space="0"/>
              <w:right w:val="single" w:color="000000" w:sz="4" w:space="0"/>
            </w:tcBorders>
            <w:vAlign w:val="center"/>
          </w:tcPr>
          <w:p w14:paraId="30BF331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0.5</w:t>
            </w:r>
          </w:p>
        </w:tc>
        <w:tc>
          <w:tcPr>
            <w:tcW w:w="2319" w:type="dxa"/>
            <w:tcBorders>
              <w:top w:val="single" w:color="000000" w:sz="4" w:space="0"/>
              <w:left w:val="single" w:color="000000" w:sz="4" w:space="0"/>
              <w:bottom w:val="single" w:color="000000" w:sz="4" w:space="0"/>
              <w:right w:val="single" w:color="000000" w:sz="4" w:space="0"/>
            </w:tcBorders>
            <w:vAlign w:val="center"/>
          </w:tcPr>
          <w:p w14:paraId="40F19B7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0.5</w:t>
            </w:r>
          </w:p>
        </w:tc>
        <w:tc>
          <w:tcPr>
            <w:tcW w:w="2339" w:type="dxa"/>
            <w:tcBorders>
              <w:top w:val="single" w:color="000000" w:sz="4" w:space="0"/>
              <w:left w:val="single" w:color="000000" w:sz="4" w:space="0"/>
              <w:bottom w:val="single" w:color="000000" w:sz="4" w:space="0"/>
              <w:right w:val="single" w:color="000000" w:sz="12" w:space="0"/>
            </w:tcBorders>
            <w:vAlign w:val="center"/>
          </w:tcPr>
          <w:p w14:paraId="1008F7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否</w:t>
            </w:r>
          </w:p>
        </w:tc>
      </w:tr>
      <w:tr w14:paraId="0F3A4971">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5A7A87AF">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5</w:t>
            </w:r>
          </w:p>
        </w:tc>
        <w:tc>
          <w:tcPr>
            <w:tcW w:w="1859" w:type="dxa"/>
            <w:tcBorders>
              <w:top w:val="single" w:color="000000" w:sz="4" w:space="0"/>
              <w:left w:val="single" w:color="000000" w:sz="4" w:space="0"/>
              <w:bottom w:val="single" w:color="000000" w:sz="4" w:space="0"/>
              <w:right w:val="single" w:color="000000" w:sz="4" w:space="0"/>
            </w:tcBorders>
            <w:vAlign w:val="center"/>
          </w:tcPr>
          <w:p w14:paraId="6EF794D8">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二甲基乙酰胺</w:t>
            </w:r>
          </w:p>
        </w:tc>
        <w:tc>
          <w:tcPr>
            <w:tcW w:w="2322" w:type="dxa"/>
            <w:tcBorders>
              <w:top w:val="single" w:color="000000" w:sz="4" w:space="0"/>
              <w:left w:val="single" w:color="000000" w:sz="4" w:space="0"/>
              <w:bottom w:val="single" w:color="000000" w:sz="4" w:space="0"/>
              <w:right w:val="single" w:color="000000" w:sz="4" w:space="0"/>
            </w:tcBorders>
            <w:vAlign w:val="center"/>
          </w:tcPr>
          <w:p w14:paraId="4B993080">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14:paraId="49355B11">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14:paraId="4458A8E3">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14:paraId="4A9A1533">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2BAB130F">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6</w:t>
            </w:r>
          </w:p>
        </w:tc>
        <w:tc>
          <w:tcPr>
            <w:tcW w:w="1859" w:type="dxa"/>
            <w:tcBorders>
              <w:top w:val="single" w:color="000000" w:sz="4" w:space="0"/>
              <w:left w:val="single" w:color="000000" w:sz="4" w:space="0"/>
              <w:bottom w:val="single" w:color="000000" w:sz="4" w:space="0"/>
              <w:right w:val="single" w:color="000000" w:sz="4" w:space="0"/>
            </w:tcBorders>
            <w:vAlign w:val="center"/>
          </w:tcPr>
          <w:p w14:paraId="2A5F70DE">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二硝</w:t>
            </w:r>
          </w:p>
        </w:tc>
        <w:tc>
          <w:tcPr>
            <w:tcW w:w="2322" w:type="dxa"/>
            <w:tcBorders>
              <w:top w:val="single" w:color="000000" w:sz="4" w:space="0"/>
              <w:left w:val="single" w:color="000000" w:sz="4" w:space="0"/>
              <w:bottom w:val="single" w:color="000000" w:sz="4" w:space="0"/>
              <w:right w:val="single" w:color="000000" w:sz="4" w:space="0"/>
            </w:tcBorders>
            <w:vAlign w:val="center"/>
          </w:tcPr>
          <w:p w14:paraId="5E140508">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14:paraId="2F17CABC">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14:paraId="6B570CE8">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14:paraId="68F2B64C">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747F2C1E">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7</w:t>
            </w:r>
          </w:p>
        </w:tc>
        <w:tc>
          <w:tcPr>
            <w:tcW w:w="1859" w:type="dxa"/>
            <w:tcBorders>
              <w:top w:val="single" w:color="000000" w:sz="4" w:space="0"/>
              <w:left w:val="single" w:color="000000" w:sz="4" w:space="0"/>
              <w:bottom w:val="single" w:color="000000" w:sz="4" w:space="0"/>
              <w:right w:val="single" w:color="000000" w:sz="4" w:space="0"/>
            </w:tcBorders>
            <w:vAlign w:val="center"/>
          </w:tcPr>
          <w:p w14:paraId="321C1E41">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环氧丙烷</w:t>
            </w:r>
          </w:p>
        </w:tc>
        <w:tc>
          <w:tcPr>
            <w:tcW w:w="2322" w:type="dxa"/>
            <w:tcBorders>
              <w:top w:val="single" w:color="000000" w:sz="4" w:space="0"/>
              <w:left w:val="single" w:color="000000" w:sz="4" w:space="0"/>
              <w:bottom w:val="single" w:color="000000" w:sz="4" w:space="0"/>
              <w:right w:val="single" w:color="000000" w:sz="4" w:space="0"/>
            </w:tcBorders>
            <w:vAlign w:val="center"/>
          </w:tcPr>
          <w:p w14:paraId="4B18F847">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14:paraId="2EC0AB2C">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14:paraId="6F2E2763">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14:paraId="25C571B0">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332EEDD9">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8</w:t>
            </w:r>
          </w:p>
        </w:tc>
        <w:tc>
          <w:tcPr>
            <w:tcW w:w="1859" w:type="dxa"/>
            <w:tcBorders>
              <w:top w:val="single" w:color="000000" w:sz="4" w:space="0"/>
              <w:left w:val="single" w:color="000000" w:sz="4" w:space="0"/>
              <w:bottom w:val="single" w:color="000000" w:sz="4" w:space="0"/>
              <w:right w:val="single" w:color="000000" w:sz="4" w:space="0"/>
            </w:tcBorders>
            <w:vAlign w:val="center"/>
          </w:tcPr>
          <w:p w14:paraId="399F9B87">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环氧乙烷</w:t>
            </w:r>
          </w:p>
        </w:tc>
        <w:tc>
          <w:tcPr>
            <w:tcW w:w="2322" w:type="dxa"/>
            <w:tcBorders>
              <w:top w:val="single" w:color="000000" w:sz="4" w:space="0"/>
              <w:left w:val="single" w:color="000000" w:sz="4" w:space="0"/>
              <w:bottom w:val="single" w:color="000000" w:sz="4" w:space="0"/>
              <w:right w:val="single" w:color="000000" w:sz="4" w:space="0"/>
            </w:tcBorders>
            <w:vAlign w:val="center"/>
          </w:tcPr>
          <w:p w14:paraId="30EDA4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1.29</w:t>
            </w:r>
          </w:p>
        </w:tc>
        <w:tc>
          <w:tcPr>
            <w:tcW w:w="2319" w:type="dxa"/>
            <w:tcBorders>
              <w:top w:val="single" w:color="000000" w:sz="4" w:space="0"/>
              <w:left w:val="single" w:color="000000" w:sz="4" w:space="0"/>
              <w:bottom w:val="single" w:color="000000" w:sz="4" w:space="0"/>
              <w:right w:val="single" w:color="000000" w:sz="4" w:space="0"/>
            </w:tcBorders>
            <w:vAlign w:val="center"/>
          </w:tcPr>
          <w:p w14:paraId="595BD5A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1.29</w:t>
            </w:r>
          </w:p>
        </w:tc>
        <w:tc>
          <w:tcPr>
            <w:tcW w:w="2339" w:type="dxa"/>
            <w:tcBorders>
              <w:top w:val="single" w:color="000000" w:sz="4" w:space="0"/>
              <w:left w:val="single" w:color="000000" w:sz="4" w:space="0"/>
              <w:bottom w:val="single" w:color="000000" w:sz="4" w:space="0"/>
              <w:right w:val="single" w:color="000000" w:sz="12" w:space="0"/>
            </w:tcBorders>
            <w:vAlign w:val="center"/>
          </w:tcPr>
          <w:p w14:paraId="383EE42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否</w:t>
            </w:r>
          </w:p>
        </w:tc>
      </w:tr>
      <w:tr w14:paraId="5D7DD07A">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620E9599">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9</w:t>
            </w:r>
          </w:p>
        </w:tc>
        <w:tc>
          <w:tcPr>
            <w:tcW w:w="1859" w:type="dxa"/>
            <w:tcBorders>
              <w:top w:val="single" w:color="000000" w:sz="4" w:space="0"/>
              <w:left w:val="single" w:color="000000" w:sz="4" w:space="0"/>
              <w:bottom w:val="single" w:color="000000" w:sz="4" w:space="0"/>
              <w:right w:val="single" w:color="000000" w:sz="4" w:space="0"/>
            </w:tcBorders>
            <w:vAlign w:val="center"/>
          </w:tcPr>
          <w:p w14:paraId="71F20B45">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甲醇</w:t>
            </w:r>
          </w:p>
        </w:tc>
        <w:tc>
          <w:tcPr>
            <w:tcW w:w="2322" w:type="dxa"/>
            <w:tcBorders>
              <w:top w:val="single" w:color="000000" w:sz="4" w:space="0"/>
              <w:left w:val="single" w:color="000000" w:sz="4" w:space="0"/>
              <w:bottom w:val="single" w:color="000000" w:sz="4" w:space="0"/>
              <w:right w:val="single" w:color="000000" w:sz="4" w:space="0"/>
            </w:tcBorders>
            <w:vAlign w:val="center"/>
          </w:tcPr>
          <w:p w14:paraId="159033B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3.81</w:t>
            </w:r>
          </w:p>
        </w:tc>
        <w:tc>
          <w:tcPr>
            <w:tcW w:w="2319" w:type="dxa"/>
            <w:tcBorders>
              <w:top w:val="single" w:color="000000" w:sz="4" w:space="0"/>
              <w:left w:val="single" w:color="000000" w:sz="4" w:space="0"/>
              <w:bottom w:val="single" w:color="000000" w:sz="4" w:space="0"/>
              <w:right w:val="single" w:color="000000" w:sz="4" w:space="0"/>
            </w:tcBorders>
            <w:vAlign w:val="center"/>
          </w:tcPr>
          <w:p w14:paraId="2CFF306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3.81</w:t>
            </w:r>
          </w:p>
        </w:tc>
        <w:tc>
          <w:tcPr>
            <w:tcW w:w="2339" w:type="dxa"/>
            <w:tcBorders>
              <w:top w:val="single" w:color="000000" w:sz="4" w:space="0"/>
              <w:left w:val="single" w:color="000000" w:sz="4" w:space="0"/>
              <w:bottom w:val="single" w:color="000000" w:sz="4" w:space="0"/>
              <w:right w:val="single" w:color="000000" w:sz="12" w:space="0"/>
            </w:tcBorders>
            <w:vAlign w:val="center"/>
          </w:tcPr>
          <w:p w14:paraId="0BEB709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是</w:t>
            </w:r>
          </w:p>
        </w:tc>
      </w:tr>
      <w:tr w14:paraId="1F825CE1">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1510D916">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10</w:t>
            </w:r>
          </w:p>
        </w:tc>
        <w:tc>
          <w:tcPr>
            <w:tcW w:w="1859" w:type="dxa"/>
            <w:tcBorders>
              <w:top w:val="single" w:color="000000" w:sz="4" w:space="0"/>
              <w:left w:val="single" w:color="000000" w:sz="4" w:space="0"/>
              <w:bottom w:val="single" w:color="000000" w:sz="4" w:space="0"/>
              <w:right w:val="single" w:color="000000" w:sz="4" w:space="0"/>
            </w:tcBorders>
            <w:vAlign w:val="center"/>
          </w:tcPr>
          <w:p w14:paraId="0255BE7D">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氯化苯</w:t>
            </w:r>
          </w:p>
        </w:tc>
        <w:tc>
          <w:tcPr>
            <w:tcW w:w="2322" w:type="dxa"/>
            <w:tcBorders>
              <w:top w:val="single" w:color="000000" w:sz="4" w:space="0"/>
              <w:left w:val="single" w:color="000000" w:sz="4" w:space="0"/>
              <w:bottom w:val="single" w:color="000000" w:sz="4" w:space="0"/>
              <w:right w:val="single" w:color="000000" w:sz="4" w:space="0"/>
            </w:tcBorders>
            <w:vAlign w:val="center"/>
          </w:tcPr>
          <w:p w14:paraId="6413301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0.34</w:t>
            </w:r>
          </w:p>
        </w:tc>
        <w:tc>
          <w:tcPr>
            <w:tcW w:w="2319" w:type="dxa"/>
            <w:tcBorders>
              <w:top w:val="single" w:color="000000" w:sz="4" w:space="0"/>
              <w:left w:val="single" w:color="000000" w:sz="4" w:space="0"/>
              <w:bottom w:val="single" w:color="000000" w:sz="4" w:space="0"/>
              <w:right w:val="single" w:color="000000" w:sz="4" w:space="0"/>
            </w:tcBorders>
            <w:vAlign w:val="center"/>
          </w:tcPr>
          <w:p w14:paraId="6888A40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0.34</w:t>
            </w:r>
          </w:p>
        </w:tc>
        <w:tc>
          <w:tcPr>
            <w:tcW w:w="2339" w:type="dxa"/>
            <w:tcBorders>
              <w:top w:val="single" w:color="000000" w:sz="4" w:space="0"/>
              <w:left w:val="single" w:color="000000" w:sz="4" w:space="0"/>
              <w:bottom w:val="single" w:color="000000" w:sz="4" w:space="0"/>
              <w:right w:val="single" w:color="000000" w:sz="12" w:space="0"/>
            </w:tcBorders>
            <w:vAlign w:val="center"/>
          </w:tcPr>
          <w:p w14:paraId="14D9045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否</w:t>
            </w:r>
          </w:p>
        </w:tc>
      </w:tr>
      <w:tr w14:paraId="7AE6389C">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167C3196">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11</w:t>
            </w:r>
          </w:p>
        </w:tc>
        <w:tc>
          <w:tcPr>
            <w:tcW w:w="1859" w:type="dxa"/>
            <w:tcBorders>
              <w:top w:val="single" w:color="000000" w:sz="4" w:space="0"/>
              <w:left w:val="single" w:color="000000" w:sz="4" w:space="0"/>
              <w:bottom w:val="single" w:color="000000" w:sz="4" w:space="0"/>
              <w:right w:val="single" w:color="000000" w:sz="4" w:space="0"/>
            </w:tcBorders>
            <w:vAlign w:val="center"/>
          </w:tcPr>
          <w:p w14:paraId="4C183F18">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溶剂油</w:t>
            </w:r>
          </w:p>
        </w:tc>
        <w:tc>
          <w:tcPr>
            <w:tcW w:w="2322" w:type="dxa"/>
            <w:tcBorders>
              <w:top w:val="single" w:color="000000" w:sz="4" w:space="0"/>
              <w:left w:val="single" w:color="000000" w:sz="4" w:space="0"/>
              <w:bottom w:val="single" w:color="000000" w:sz="4" w:space="0"/>
              <w:right w:val="single" w:color="000000" w:sz="4" w:space="0"/>
            </w:tcBorders>
            <w:vAlign w:val="center"/>
          </w:tcPr>
          <w:p w14:paraId="70D50BD0">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14:paraId="542D55F2">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14:paraId="690C30D1">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14:paraId="4558AA1C">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3E7A1B40">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12</w:t>
            </w:r>
          </w:p>
        </w:tc>
        <w:tc>
          <w:tcPr>
            <w:tcW w:w="1859" w:type="dxa"/>
            <w:tcBorders>
              <w:top w:val="single" w:color="000000" w:sz="4" w:space="0"/>
              <w:left w:val="single" w:color="000000" w:sz="4" w:space="0"/>
              <w:bottom w:val="single" w:color="000000" w:sz="4" w:space="0"/>
              <w:right w:val="single" w:color="000000" w:sz="4" w:space="0"/>
            </w:tcBorders>
            <w:vAlign w:val="center"/>
          </w:tcPr>
          <w:p w14:paraId="33D6E4DD">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硝基苯</w:t>
            </w:r>
          </w:p>
        </w:tc>
        <w:tc>
          <w:tcPr>
            <w:tcW w:w="2322" w:type="dxa"/>
            <w:tcBorders>
              <w:top w:val="single" w:color="000000" w:sz="4" w:space="0"/>
              <w:left w:val="single" w:color="000000" w:sz="4" w:space="0"/>
              <w:bottom w:val="single" w:color="000000" w:sz="4" w:space="0"/>
              <w:right w:val="single" w:color="000000" w:sz="4" w:space="0"/>
            </w:tcBorders>
            <w:vAlign w:val="center"/>
          </w:tcPr>
          <w:p w14:paraId="3BC4806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4.6</w:t>
            </w:r>
          </w:p>
        </w:tc>
        <w:tc>
          <w:tcPr>
            <w:tcW w:w="2319" w:type="dxa"/>
            <w:tcBorders>
              <w:top w:val="single" w:color="000000" w:sz="4" w:space="0"/>
              <w:left w:val="single" w:color="000000" w:sz="4" w:space="0"/>
              <w:bottom w:val="single" w:color="000000" w:sz="4" w:space="0"/>
              <w:right w:val="single" w:color="000000" w:sz="4" w:space="0"/>
            </w:tcBorders>
            <w:vAlign w:val="center"/>
          </w:tcPr>
          <w:p w14:paraId="38DA4F7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4.6</w:t>
            </w:r>
          </w:p>
        </w:tc>
        <w:tc>
          <w:tcPr>
            <w:tcW w:w="2339" w:type="dxa"/>
            <w:tcBorders>
              <w:top w:val="single" w:color="000000" w:sz="4" w:space="0"/>
              <w:left w:val="single" w:color="000000" w:sz="4" w:space="0"/>
              <w:bottom w:val="single" w:color="000000" w:sz="4" w:space="0"/>
              <w:right w:val="single" w:color="000000" w:sz="12" w:space="0"/>
            </w:tcBorders>
            <w:vAlign w:val="center"/>
          </w:tcPr>
          <w:p w14:paraId="32B0EF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是</w:t>
            </w:r>
          </w:p>
        </w:tc>
      </w:tr>
      <w:tr w14:paraId="640630F4">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159619E8">
            <w:pPr>
              <w:pStyle w:val="26"/>
              <w:ind w:firstLine="0" w:firstLineChars="0"/>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13</w:t>
            </w:r>
          </w:p>
        </w:tc>
        <w:tc>
          <w:tcPr>
            <w:tcW w:w="1859" w:type="dxa"/>
            <w:tcBorders>
              <w:top w:val="single" w:color="000000" w:sz="4" w:space="0"/>
              <w:left w:val="single" w:color="000000" w:sz="4" w:space="0"/>
              <w:bottom w:val="single" w:color="000000" w:sz="4" w:space="0"/>
              <w:right w:val="single" w:color="000000" w:sz="4" w:space="0"/>
            </w:tcBorders>
            <w:vAlign w:val="center"/>
          </w:tcPr>
          <w:p w14:paraId="43DC90C6">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浆液</w:t>
            </w:r>
          </w:p>
        </w:tc>
        <w:tc>
          <w:tcPr>
            <w:tcW w:w="2322" w:type="dxa"/>
            <w:tcBorders>
              <w:top w:val="single" w:color="000000" w:sz="4" w:space="0"/>
              <w:left w:val="single" w:color="000000" w:sz="4" w:space="0"/>
              <w:bottom w:val="single" w:color="000000" w:sz="4" w:space="0"/>
              <w:right w:val="single" w:color="000000" w:sz="4" w:space="0"/>
            </w:tcBorders>
            <w:vAlign w:val="center"/>
          </w:tcPr>
          <w:p w14:paraId="575769EC">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14:paraId="5CAFE0D6">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14:paraId="4378D0DA">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14:paraId="1943018B">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126321E2">
            <w:pPr>
              <w:pStyle w:val="26"/>
              <w:ind w:firstLine="0" w:firstLineChars="0"/>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14</w:t>
            </w:r>
          </w:p>
        </w:tc>
        <w:tc>
          <w:tcPr>
            <w:tcW w:w="1859" w:type="dxa"/>
            <w:tcBorders>
              <w:top w:val="single" w:color="000000" w:sz="4" w:space="0"/>
              <w:left w:val="single" w:color="000000" w:sz="4" w:space="0"/>
              <w:bottom w:val="single" w:color="000000" w:sz="4" w:space="0"/>
              <w:right w:val="single" w:color="000000" w:sz="4" w:space="0"/>
            </w:tcBorders>
            <w:vAlign w:val="center"/>
          </w:tcPr>
          <w:p w14:paraId="7C07FBB5">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胶乳</w:t>
            </w:r>
          </w:p>
        </w:tc>
        <w:tc>
          <w:tcPr>
            <w:tcW w:w="2322" w:type="dxa"/>
            <w:tcBorders>
              <w:top w:val="single" w:color="000000" w:sz="4" w:space="0"/>
              <w:left w:val="single" w:color="000000" w:sz="4" w:space="0"/>
              <w:bottom w:val="single" w:color="000000" w:sz="4" w:space="0"/>
              <w:right w:val="single" w:color="000000" w:sz="4" w:space="0"/>
            </w:tcBorders>
            <w:vAlign w:val="center"/>
          </w:tcPr>
          <w:p w14:paraId="0F17D7A8">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14:paraId="5964F279">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14:paraId="47DFBC9B">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14:paraId="73A891F1">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78CAC45E">
            <w:pPr>
              <w:pStyle w:val="26"/>
              <w:ind w:firstLine="0" w:firstLineChars="0"/>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15</w:t>
            </w:r>
          </w:p>
        </w:tc>
        <w:tc>
          <w:tcPr>
            <w:tcW w:w="1859" w:type="dxa"/>
            <w:tcBorders>
              <w:top w:val="single" w:color="000000" w:sz="4" w:space="0"/>
              <w:left w:val="single" w:color="000000" w:sz="4" w:space="0"/>
              <w:bottom w:val="single" w:color="000000" w:sz="4" w:space="0"/>
              <w:right w:val="single" w:color="000000" w:sz="4" w:space="0"/>
            </w:tcBorders>
            <w:vAlign w:val="center"/>
          </w:tcPr>
          <w:p w14:paraId="0214D07E">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抗氧剂</w:t>
            </w:r>
          </w:p>
        </w:tc>
        <w:tc>
          <w:tcPr>
            <w:tcW w:w="2322" w:type="dxa"/>
            <w:tcBorders>
              <w:top w:val="single" w:color="000000" w:sz="4" w:space="0"/>
              <w:left w:val="single" w:color="000000" w:sz="4" w:space="0"/>
              <w:bottom w:val="single" w:color="000000" w:sz="4" w:space="0"/>
              <w:right w:val="single" w:color="000000" w:sz="4" w:space="0"/>
            </w:tcBorders>
            <w:vAlign w:val="center"/>
          </w:tcPr>
          <w:p w14:paraId="4FD21D97">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14:paraId="684AE405">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14:paraId="01DEDC2B">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14:paraId="60F8CB7B">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7CDD7BFE">
            <w:pPr>
              <w:pStyle w:val="26"/>
              <w:ind w:firstLine="0" w:firstLineChars="0"/>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16</w:t>
            </w:r>
          </w:p>
        </w:tc>
        <w:tc>
          <w:tcPr>
            <w:tcW w:w="1859" w:type="dxa"/>
            <w:tcBorders>
              <w:top w:val="single" w:color="000000" w:sz="4" w:space="0"/>
              <w:left w:val="single" w:color="000000" w:sz="4" w:space="0"/>
              <w:bottom w:val="single" w:color="000000" w:sz="4" w:space="0"/>
              <w:right w:val="single" w:color="000000" w:sz="4" w:space="0"/>
            </w:tcBorders>
            <w:vAlign w:val="center"/>
          </w:tcPr>
          <w:p w14:paraId="48A3DAB1">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乳液</w:t>
            </w:r>
          </w:p>
        </w:tc>
        <w:tc>
          <w:tcPr>
            <w:tcW w:w="2322" w:type="dxa"/>
            <w:tcBorders>
              <w:top w:val="single" w:color="000000" w:sz="4" w:space="0"/>
              <w:left w:val="single" w:color="000000" w:sz="4" w:space="0"/>
              <w:bottom w:val="single" w:color="000000" w:sz="4" w:space="0"/>
              <w:right w:val="single" w:color="000000" w:sz="4" w:space="0"/>
            </w:tcBorders>
            <w:vAlign w:val="center"/>
          </w:tcPr>
          <w:p w14:paraId="540E4DB1">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14:paraId="7C1739CC">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14:paraId="62C17ED3">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14:paraId="37C6116E">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24A32E79">
            <w:pPr>
              <w:pStyle w:val="26"/>
              <w:ind w:firstLine="0" w:firstLineChars="0"/>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17</w:t>
            </w:r>
          </w:p>
        </w:tc>
        <w:tc>
          <w:tcPr>
            <w:tcW w:w="1859" w:type="dxa"/>
            <w:tcBorders>
              <w:top w:val="single" w:color="000000" w:sz="4" w:space="0"/>
              <w:left w:val="single" w:color="000000" w:sz="4" w:space="0"/>
              <w:bottom w:val="single" w:color="000000" w:sz="4" w:space="0"/>
              <w:right w:val="single" w:color="000000" w:sz="4" w:space="0"/>
            </w:tcBorders>
            <w:vAlign w:val="center"/>
          </w:tcPr>
          <w:p w14:paraId="4EC2B1D2">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乳化剂</w:t>
            </w:r>
          </w:p>
        </w:tc>
        <w:tc>
          <w:tcPr>
            <w:tcW w:w="2322" w:type="dxa"/>
            <w:tcBorders>
              <w:top w:val="single" w:color="000000" w:sz="4" w:space="0"/>
              <w:left w:val="single" w:color="000000" w:sz="4" w:space="0"/>
              <w:bottom w:val="single" w:color="000000" w:sz="4" w:space="0"/>
              <w:right w:val="single" w:color="000000" w:sz="4" w:space="0"/>
            </w:tcBorders>
            <w:vAlign w:val="center"/>
          </w:tcPr>
          <w:p w14:paraId="045AC728">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14:paraId="0579D8BD">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14:paraId="7BE7622F">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14:paraId="6FFFFB89">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479A4BF0">
            <w:pPr>
              <w:pStyle w:val="26"/>
              <w:ind w:firstLine="0" w:firstLineChars="0"/>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18</w:t>
            </w:r>
          </w:p>
        </w:tc>
        <w:tc>
          <w:tcPr>
            <w:tcW w:w="1859" w:type="dxa"/>
            <w:tcBorders>
              <w:top w:val="single" w:color="000000" w:sz="4" w:space="0"/>
              <w:left w:val="single" w:color="000000" w:sz="4" w:space="0"/>
              <w:bottom w:val="single" w:color="000000" w:sz="4" w:space="0"/>
              <w:right w:val="single" w:color="000000" w:sz="4" w:space="0"/>
            </w:tcBorders>
            <w:vAlign w:val="center"/>
          </w:tcPr>
          <w:p w14:paraId="1E5DF853">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酚钠</w:t>
            </w:r>
          </w:p>
        </w:tc>
        <w:tc>
          <w:tcPr>
            <w:tcW w:w="2322" w:type="dxa"/>
            <w:tcBorders>
              <w:top w:val="single" w:color="000000" w:sz="4" w:space="0"/>
              <w:left w:val="single" w:color="000000" w:sz="4" w:space="0"/>
              <w:bottom w:val="single" w:color="000000" w:sz="4" w:space="0"/>
              <w:right w:val="single" w:color="000000" w:sz="4" w:space="0"/>
            </w:tcBorders>
            <w:vAlign w:val="center"/>
          </w:tcPr>
          <w:p w14:paraId="538F69B7">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14:paraId="4B074EAB">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14:paraId="69C01CC5">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14:paraId="372B92AA">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77C7699A">
            <w:pPr>
              <w:pStyle w:val="26"/>
              <w:ind w:firstLine="0" w:firstLineChars="0"/>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19</w:t>
            </w:r>
          </w:p>
        </w:tc>
        <w:tc>
          <w:tcPr>
            <w:tcW w:w="1859" w:type="dxa"/>
            <w:tcBorders>
              <w:top w:val="single" w:color="000000" w:sz="4" w:space="0"/>
              <w:left w:val="single" w:color="000000" w:sz="4" w:space="0"/>
              <w:bottom w:val="single" w:color="000000" w:sz="4" w:space="0"/>
              <w:right w:val="single" w:color="000000" w:sz="4" w:space="0"/>
            </w:tcBorders>
            <w:vAlign w:val="center"/>
          </w:tcPr>
          <w:p w14:paraId="22E3717E">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终止剂</w:t>
            </w:r>
          </w:p>
        </w:tc>
        <w:tc>
          <w:tcPr>
            <w:tcW w:w="2322" w:type="dxa"/>
            <w:tcBorders>
              <w:top w:val="single" w:color="000000" w:sz="4" w:space="0"/>
              <w:left w:val="single" w:color="000000" w:sz="4" w:space="0"/>
              <w:bottom w:val="single" w:color="000000" w:sz="4" w:space="0"/>
              <w:right w:val="single" w:color="000000" w:sz="4" w:space="0"/>
            </w:tcBorders>
            <w:vAlign w:val="center"/>
          </w:tcPr>
          <w:p w14:paraId="178FEF15">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14:paraId="2461A096">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14:paraId="2EDEAAF1">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14:paraId="085BF11D">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4C245028">
            <w:pPr>
              <w:pStyle w:val="26"/>
              <w:ind w:firstLine="0" w:firstLineChars="0"/>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w:t>
            </w:r>
          </w:p>
        </w:tc>
        <w:tc>
          <w:tcPr>
            <w:tcW w:w="1859" w:type="dxa"/>
            <w:tcBorders>
              <w:top w:val="single" w:color="000000" w:sz="4" w:space="0"/>
              <w:left w:val="single" w:color="000000" w:sz="4" w:space="0"/>
              <w:bottom w:val="single" w:color="000000" w:sz="4" w:space="0"/>
              <w:right w:val="single" w:color="000000" w:sz="4" w:space="0"/>
            </w:tcBorders>
            <w:vAlign w:val="center"/>
          </w:tcPr>
          <w:p w14:paraId="6C8B216B">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助剂</w:t>
            </w:r>
          </w:p>
        </w:tc>
        <w:tc>
          <w:tcPr>
            <w:tcW w:w="2322" w:type="dxa"/>
            <w:tcBorders>
              <w:top w:val="single" w:color="000000" w:sz="4" w:space="0"/>
              <w:left w:val="single" w:color="000000" w:sz="4" w:space="0"/>
              <w:bottom w:val="single" w:color="000000" w:sz="4" w:space="0"/>
              <w:right w:val="single" w:color="000000" w:sz="4" w:space="0"/>
            </w:tcBorders>
            <w:vAlign w:val="center"/>
          </w:tcPr>
          <w:p w14:paraId="67F340AF">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14:paraId="12DB151F">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14:paraId="6CA84F58">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14:paraId="09ED1AA8">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162A72BE">
            <w:pPr>
              <w:pStyle w:val="26"/>
              <w:ind w:firstLine="0" w:firstLineChars="0"/>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21</w:t>
            </w:r>
          </w:p>
        </w:tc>
        <w:tc>
          <w:tcPr>
            <w:tcW w:w="1859" w:type="dxa"/>
            <w:tcBorders>
              <w:top w:val="single" w:color="000000" w:sz="4" w:space="0"/>
              <w:left w:val="single" w:color="000000" w:sz="4" w:space="0"/>
              <w:bottom w:val="single" w:color="000000" w:sz="4" w:space="0"/>
              <w:right w:val="single" w:color="000000" w:sz="4" w:space="0"/>
            </w:tcBorders>
            <w:vAlign w:val="center"/>
          </w:tcPr>
          <w:p w14:paraId="6F35507B">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单体料</w:t>
            </w:r>
          </w:p>
        </w:tc>
        <w:tc>
          <w:tcPr>
            <w:tcW w:w="2322" w:type="dxa"/>
            <w:tcBorders>
              <w:top w:val="single" w:color="000000" w:sz="4" w:space="0"/>
              <w:left w:val="single" w:color="000000" w:sz="4" w:space="0"/>
              <w:bottom w:val="single" w:color="000000" w:sz="4" w:space="0"/>
              <w:right w:val="single" w:color="000000" w:sz="4" w:space="0"/>
            </w:tcBorders>
            <w:vAlign w:val="center"/>
          </w:tcPr>
          <w:p w14:paraId="501579F8">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14:paraId="0C81C9D2">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14:paraId="4E0060B3">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14:paraId="06959999">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288725E1">
            <w:pPr>
              <w:pStyle w:val="26"/>
              <w:ind w:firstLine="0" w:firstLineChars="0"/>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22</w:t>
            </w:r>
          </w:p>
        </w:tc>
        <w:tc>
          <w:tcPr>
            <w:tcW w:w="1859" w:type="dxa"/>
            <w:tcBorders>
              <w:top w:val="single" w:color="000000" w:sz="4" w:space="0"/>
              <w:left w:val="single" w:color="000000" w:sz="4" w:space="0"/>
              <w:bottom w:val="single" w:color="000000" w:sz="4" w:space="0"/>
              <w:right w:val="single" w:color="000000" w:sz="4" w:space="0"/>
            </w:tcBorders>
            <w:vAlign w:val="center"/>
          </w:tcPr>
          <w:p w14:paraId="0F1FDDFC">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分散剂</w:t>
            </w:r>
          </w:p>
        </w:tc>
        <w:tc>
          <w:tcPr>
            <w:tcW w:w="2322" w:type="dxa"/>
            <w:tcBorders>
              <w:top w:val="single" w:color="000000" w:sz="4" w:space="0"/>
              <w:left w:val="single" w:color="000000" w:sz="4" w:space="0"/>
              <w:bottom w:val="single" w:color="000000" w:sz="4" w:space="0"/>
              <w:right w:val="single" w:color="000000" w:sz="4" w:space="0"/>
            </w:tcBorders>
            <w:vAlign w:val="center"/>
          </w:tcPr>
          <w:p w14:paraId="677F855F">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14:paraId="6ACF8AD1">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14:paraId="1D4180B8">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bl>
    <w:p w14:paraId="21EF16A2">
      <w:pPr>
        <w:pStyle w:val="3"/>
        <w:numPr>
          <w:ilvl w:val="0"/>
          <w:numId w:val="0"/>
        </w:numPr>
        <w:bidi w:val="0"/>
        <w:ind w:leftChars="0"/>
        <w:rPr>
          <w:rFonts w:hint="eastAsia" w:asciiTheme="majorEastAsia" w:hAnsiTheme="majorEastAsia" w:eastAsiaTheme="majorEastAsia" w:cstheme="majorEastAsia"/>
          <w:color w:val="auto"/>
          <w:lang w:val="en-US" w:eastAsia="zh-CN"/>
        </w:rPr>
      </w:pPr>
    </w:p>
    <w:p w14:paraId="49F18189">
      <w:pPr>
        <w:pStyle w:val="3"/>
        <w:numPr>
          <w:ilvl w:val="0"/>
          <w:numId w:val="0"/>
        </w:numPr>
        <w:bidi w:val="0"/>
        <w:ind w:leftChars="0"/>
        <w:rPr>
          <w:rFonts w:hint="eastAsia" w:asciiTheme="majorEastAsia" w:hAnsiTheme="majorEastAsia" w:eastAsiaTheme="majorEastAsia" w:cstheme="majorEastAsia"/>
          <w:color w:val="auto"/>
          <w:lang w:val="en-US" w:eastAsia="zh-CN"/>
        </w:rPr>
      </w:pPr>
      <w:bookmarkStart w:id="55" w:name="_Toc15877"/>
      <w:r>
        <w:rPr>
          <w:rFonts w:hint="eastAsia" w:asciiTheme="majorEastAsia" w:hAnsiTheme="majorEastAsia" w:eastAsiaTheme="majorEastAsia" w:cstheme="majorEastAsia"/>
          <w:color w:val="auto"/>
          <w:lang w:val="en-US" w:eastAsia="zh-CN"/>
        </w:rPr>
        <w:t>3 现场</w:t>
      </w:r>
      <w:r>
        <w:rPr>
          <w:rFonts w:hint="eastAsia" w:asciiTheme="majorEastAsia" w:hAnsiTheme="majorEastAsia" w:eastAsiaTheme="majorEastAsia" w:cstheme="majorEastAsia"/>
          <w:color w:val="auto"/>
        </w:rPr>
        <w:t>检测</w:t>
      </w:r>
      <w:bookmarkEnd w:id="51"/>
      <w:bookmarkEnd w:id="52"/>
      <w:bookmarkEnd w:id="55"/>
    </w:p>
    <w:p w14:paraId="1D4718D8">
      <w:pPr>
        <w:pStyle w:val="4"/>
        <w:numPr>
          <w:ilvl w:val="1"/>
          <w:numId w:val="0"/>
        </w:numPr>
        <w:bidi w:val="0"/>
        <w:ind w:leftChars="0"/>
        <w:rPr>
          <w:rFonts w:hint="eastAsia" w:asciiTheme="majorEastAsia" w:hAnsiTheme="majorEastAsia" w:eastAsiaTheme="majorEastAsia" w:cstheme="majorEastAsia"/>
          <w:lang w:val="en-US" w:eastAsia="zh-CN"/>
        </w:rPr>
      </w:pPr>
      <w:bookmarkStart w:id="56" w:name="_Toc25188"/>
      <w:bookmarkStart w:id="57" w:name="_Toc6948"/>
      <w:bookmarkStart w:id="58" w:name="_Toc21329"/>
      <w:bookmarkStart w:id="59" w:name="_Toc10169"/>
      <w:r>
        <w:rPr>
          <w:rFonts w:hint="eastAsia" w:asciiTheme="majorEastAsia" w:hAnsiTheme="majorEastAsia" w:eastAsiaTheme="majorEastAsia" w:cstheme="majorEastAsia"/>
        </w:rPr>
        <w:drawing>
          <wp:anchor distT="0" distB="0" distL="114300" distR="114300" simplePos="0" relativeHeight="251663360" behindDoc="0" locked="0" layoutInCell="1" allowOverlap="1">
            <wp:simplePos x="0" y="0"/>
            <wp:positionH relativeFrom="column">
              <wp:posOffset>2394585</wp:posOffset>
            </wp:positionH>
            <wp:positionV relativeFrom="paragraph">
              <wp:posOffset>336550</wp:posOffset>
            </wp:positionV>
            <wp:extent cx="1330960" cy="1669415"/>
            <wp:effectExtent l="0" t="0" r="2540" b="698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8"/>
                    <a:stretch>
                      <a:fillRect/>
                    </a:stretch>
                  </pic:blipFill>
                  <pic:spPr>
                    <a:xfrm>
                      <a:off x="0" y="0"/>
                      <a:ext cx="1330960" cy="1669415"/>
                    </a:xfrm>
                    <a:prstGeom prst="rect">
                      <a:avLst/>
                    </a:prstGeom>
                    <a:noFill/>
                    <a:ln>
                      <a:noFill/>
                    </a:ln>
                  </pic:spPr>
                </pic:pic>
              </a:graphicData>
            </a:graphic>
          </wp:anchor>
        </w:drawing>
      </w:r>
      <w:r>
        <w:rPr>
          <w:rFonts w:hint="eastAsia" w:asciiTheme="majorEastAsia" w:hAnsiTheme="majorEastAsia" w:eastAsiaTheme="majorEastAsia" w:cstheme="majorEastAsia"/>
          <w:lang w:val="en-US" w:eastAsia="zh-CN"/>
        </w:rPr>
        <w:t>3.1</w:t>
      </w:r>
      <w:bookmarkEnd w:id="56"/>
      <w:bookmarkEnd w:id="57"/>
      <w:bookmarkEnd w:id="58"/>
      <w:bookmarkStart w:id="60" w:name="_Toc23655"/>
      <w:r>
        <w:rPr>
          <w:rFonts w:hint="eastAsia" w:asciiTheme="majorEastAsia" w:hAnsiTheme="majorEastAsia" w:eastAsiaTheme="majorEastAsia" w:cstheme="majorEastAsia"/>
          <w:lang w:val="en-US" w:eastAsia="zh-CN"/>
        </w:rPr>
        <w:t>检测设备及辅助设备</w:t>
      </w:r>
      <w:bookmarkEnd w:id="59"/>
      <w:bookmarkEnd w:id="60"/>
    </w:p>
    <w:p w14:paraId="080F978E">
      <w:pPr>
        <w:pStyle w:val="4"/>
        <w:numPr>
          <w:ilvl w:val="1"/>
          <w:numId w:val="0"/>
        </w:numPr>
        <w:tabs>
          <w:tab w:val="clear" w:pos="576"/>
        </w:tabs>
        <w:spacing w:before="240"/>
        <w:rPr>
          <w:rFonts w:hint="eastAsia" w:asciiTheme="majorEastAsia" w:hAnsiTheme="majorEastAsia" w:eastAsiaTheme="majorEastAsia" w:cstheme="majorEastAsia"/>
          <w:b/>
          <w:bCs/>
          <w:caps w:val="0"/>
          <w:spacing w:val="0"/>
          <w:kern w:val="2"/>
          <w:sz w:val="24"/>
          <w:szCs w:val="24"/>
          <w:lang w:val="en-US" w:eastAsia="zh-CN" w:bidi="ar-SA"/>
        </w:rPr>
      </w:pPr>
    </w:p>
    <w:p w14:paraId="1D057681">
      <w:pPr>
        <w:pStyle w:val="21"/>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w:t>
      </w:r>
    </w:p>
    <w:p w14:paraId="756DEB88">
      <w:pPr>
        <w:pStyle w:val="21"/>
        <w:ind w:left="936" w:firstLine="0" w:firstLineChars="0"/>
        <w:jc w:val="both"/>
        <w:rPr>
          <w:rFonts w:hint="eastAsia" w:asciiTheme="majorEastAsia" w:hAnsiTheme="majorEastAsia" w:eastAsiaTheme="majorEastAsia" w:cstheme="majorEastAsia"/>
          <w:sz w:val="21"/>
          <w:szCs w:val="21"/>
          <w:lang w:val="en-US" w:eastAsia="zh-CN"/>
        </w:rPr>
      </w:pPr>
    </w:p>
    <w:p w14:paraId="450619EF">
      <w:pPr>
        <w:pStyle w:val="21"/>
        <w:ind w:left="936" w:firstLine="0" w:firstLineChars="0"/>
        <w:jc w:val="both"/>
        <w:rPr>
          <w:rFonts w:hint="eastAsia" w:asciiTheme="majorEastAsia" w:hAnsiTheme="majorEastAsia" w:eastAsiaTheme="majorEastAsia" w:cstheme="majorEastAsia"/>
          <w:sz w:val="21"/>
          <w:szCs w:val="21"/>
          <w:lang w:val="en-US" w:eastAsia="zh-CN"/>
        </w:rPr>
      </w:pPr>
    </w:p>
    <w:p w14:paraId="349FDCA9">
      <w:pPr>
        <w:pStyle w:val="21"/>
        <w:ind w:left="936"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w:t>
      </w:r>
    </w:p>
    <w:p w14:paraId="39601305">
      <w:pPr>
        <w:pStyle w:val="21"/>
        <w:ind w:left="936" w:firstLine="0" w:firstLineChars="0"/>
        <w:jc w:val="both"/>
        <w:rPr>
          <w:rFonts w:hint="eastAsia" w:asciiTheme="majorEastAsia" w:hAnsiTheme="majorEastAsia" w:eastAsiaTheme="majorEastAsia" w:cstheme="majorEastAsia"/>
          <w:sz w:val="21"/>
          <w:szCs w:val="21"/>
          <w:lang w:val="en-US" w:eastAsia="zh-CN"/>
        </w:rPr>
      </w:pPr>
    </w:p>
    <w:p w14:paraId="6D17B1E1">
      <w:pPr>
        <w:pStyle w:val="21"/>
        <w:ind w:left="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w:t>
      </w:r>
    </w:p>
    <w:tbl>
      <w:tblPr>
        <w:tblStyle w:val="14"/>
        <w:tblpPr w:leftFromText="180" w:rightFromText="180" w:vertAnchor="text" w:horzAnchor="page" w:tblpX="1321" w:tblpY="692"/>
        <w:tblOverlap w:val="never"/>
        <w:tblW w:w="498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1338"/>
        <w:gridCol w:w="1437"/>
        <w:gridCol w:w="1138"/>
        <w:gridCol w:w="1962"/>
        <w:gridCol w:w="1513"/>
        <w:gridCol w:w="673"/>
      </w:tblGrid>
      <w:tr w14:paraId="18E3FB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01" w:type="pct"/>
            <w:tcBorders>
              <w:tl2br w:val="nil"/>
              <w:tr2bl w:val="nil"/>
            </w:tcBorders>
            <w:noWrap w:val="0"/>
            <w:vAlign w:val="center"/>
          </w:tcPr>
          <w:p w14:paraId="5A2E88EC">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bookmarkStart w:id="61" w:name="_Toc8884"/>
            <w:bookmarkStart w:id="62" w:name="_Toc15428"/>
            <w:r>
              <w:rPr>
                <w:rFonts w:hint="eastAsia" w:asciiTheme="majorEastAsia" w:hAnsiTheme="majorEastAsia" w:eastAsiaTheme="majorEastAsia" w:cstheme="majorEastAsia"/>
                <w:b w:val="0"/>
                <w:bCs w:val="0"/>
                <w:sz w:val="21"/>
                <w:szCs w:val="21"/>
                <w:vertAlign w:val="baseline"/>
                <w:lang w:val="en-US" w:eastAsia="zh-CN"/>
              </w:rPr>
              <w:t>设备名称</w:t>
            </w:r>
          </w:p>
        </w:tc>
        <w:tc>
          <w:tcPr>
            <w:tcW w:w="680" w:type="pct"/>
            <w:tcBorders>
              <w:tl2br w:val="nil"/>
              <w:tr2bl w:val="nil"/>
            </w:tcBorders>
            <w:noWrap w:val="0"/>
            <w:vAlign w:val="center"/>
          </w:tcPr>
          <w:p w14:paraId="77CB6643">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设备型号</w:t>
            </w:r>
          </w:p>
        </w:tc>
        <w:tc>
          <w:tcPr>
            <w:tcW w:w="730" w:type="pct"/>
            <w:tcBorders>
              <w:tl2br w:val="nil"/>
              <w:tr2bl w:val="nil"/>
            </w:tcBorders>
            <w:noWrap w:val="0"/>
            <w:vAlign w:val="center"/>
          </w:tcPr>
          <w:p w14:paraId="06DD46F9">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准确度</w:t>
            </w:r>
          </w:p>
        </w:tc>
        <w:tc>
          <w:tcPr>
            <w:tcW w:w="578" w:type="pct"/>
            <w:tcBorders>
              <w:tl2br w:val="nil"/>
              <w:tr2bl w:val="nil"/>
            </w:tcBorders>
            <w:noWrap w:val="0"/>
            <w:vAlign w:val="center"/>
          </w:tcPr>
          <w:p w14:paraId="17A99575">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响应时间</w:t>
            </w:r>
          </w:p>
        </w:tc>
        <w:tc>
          <w:tcPr>
            <w:tcW w:w="997" w:type="pct"/>
            <w:tcBorders>
              <w:tl2br w:val="nil"/>
              <w:tr2bl w:val="nil"/>
            </w:tcBorders>
            <w:noWrap w:val="0"/>
            <w:vAlign w:val="center"/>
          </w:tcPr>
          <w:p w14:paraId="190E8ADA">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检测范围</w:t>
            </w:r>
          </w:p>
        </w:tc>
        <w:tc>
          <w:tcPr>
            <w:tcW w:w="769" w:type="pct"/>
            <w:tcBorders>
              <w:tl2br w:val="nil"/>
              <w:tr2bl w:val="nil"/>
            </w:tcBorders>
            <w:noWrap w:val="0"/>
            <w:vAlign w:val="center"/>
          </w:tcPr>
          <w:p w14:paraId="7C90EC76">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分辨率</w:t>
            </w:r>
          </w:p>
        </w:tc>
        <w:tc>
          <w:tcPr>
            <w:tcW w:w="342" w:type="pct"/>
            <w:tcBorders>
              <w:tl2br w:val="nil"/>
              <w:tr2bl w:val="nil"/>
            </w:tcBorders>
            <w:noWrap w:val="0"/>
            <w:vAlign w:val="center"/>
          </w:tcPr>
          <w:p w14:paraId="6589DF75">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设备产地</w:t>
            </w:r>
          </w:p>
        </w:tc>
      </w:tr>
      <w:tr w14:paraId="06C8D8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901" w:type="pct"/>
            <w:tcBorders>
              <w:tl2br w:val="nil"/>
              <w:tr2bl w:val="nil"/>
            </w:tcBorders>
            <w:noWrap w:val="0"/>
            <w:vAlign w:val="center"/>
          </w:tcPr>
          <w:p w14:paraId="37701338">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FID便携式有毒挥发气体分析仪</w:t>
            </w:r>
          </w:p>
        </w:tc>
        <w:tc>
          <w:tcPr>
            <w:tcW w:w="680" w:type="pct"/>
            <w:tcBorders>
              <w:tl2br w:val="nil"/>
              <w:tr2bl w:val="nil"/>
            </w:tcBorders>
            <w:noWrap w:val="0"/>
            <w:vAlign w:val="center"/>
          </w:tcPr>
          <w:p w14:paraId="51E1A484">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ZR-3130</w:t>
            </w:r>
          </w:p>
        </w:tc>
        <w:tc>
          <w:tcPr>
            <w:tcW w:w="730" w:type="pct"/>
            <w:tcBorders>
              <w:tl2br w:val="nil"/>
              <w:tr2bl w:val="nil"/>
            </w:tcBorders>
            <w:noWrap w:val="0"/>
            <w:vAlign w:val="center"/>
          </w:tcPr>
          <w:p w14:paraId="52E15709">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读数的±10%</w:t>
            </w:r>
          </w:p>
        </w:tc>
        <w:tc>
          <w:tcPr>
            <w:tcW w:w="578" w:type="pct"/>
            <w:tcBorders>
              <w:tl2br w:val="nil"/>
              <w:tr2bl w:val="nil"/>
            </w:tcBorders>
            <w:noWrap w:val="0"/>
            <w:vAlign w:val="center"/>
          </w:tcPr>
          <w:p w14:paraId="76522ADD">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＜10S</w:t>
            </w:r>
          </w:p>
        </w:tc>
        <w:tc>
          <w:tcPr>
            <w:tcW w:w="997" w:type="pct"/>
            <w:tcBorders>
              <w:tl2br w:val="nil"/>
              <w:tr2bl w:val="nil"/>
            </w:tcBorders>
            <w:noWrap w:val="0"/>
            <w:vAlign w:val="center"/>
          </w:tcPr>
          <w:p w14:paraId="046BDC49">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0-50000μmol/mol</w:t>
            </w:r>
          </w:p>
        </w:tc>
        <w:tc>
          <w:tcPr>
            <w:tcW w:w="769" w:type="pct"/>
            <w:tcBorders>
              <w:tl2br w:val="nil"/>
              <w:tr2bl w:val="nil"/>
            </w:tcBorders>
            <w:noWrap w:val="0"/>
            <w:vAlign w:val="center"/>
          </w:tcPr>
          <w:p w14:paraId="5619A51F">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kern w:val="2"/>
                <w:sz w:val="21"/>
                <w:szCs w:val="21"/>
                <w:vertAlign w:val="baseline"/>
                <w:lang w:val="en-US" w:eastAsia="zh-CN" w:bidi="ar-SA"/>
              </w:rPr>
            </w:pPr>
            <w:r>
              <w:rPr>
                <w:rFonts w:hint="eastAsia" w:asciiTheme="majorEastAsia" w:hAnsiTheme="majorEastAsia" w:eastAsiaTheme="majorEastAsia" w:cstheme="majorEastAsia"/>
                <w:b w:val="0"/>
                <w:bCs w:val="0"/>
                <w:sz w:val="21"/>
                <w:szCs w:val="21"/>
                <w:vertAlign w:val="baseline"/>
                <w:lang w:val="en-US" w:eastAsia="zh-CN"/>
              </w:rPr>
              <w:t>0.1μmol/mol</w:t>
            </w:r>
          </w:p>
        </w:tc>
        <w:tc>
          <w:tcPr>
            <w:tcW w:w="342" w:type="pct"/>
            <w:tcBorders>
              <w:tl2br w:val="nil"/>
              <w:tr2bl w:val="nil"/>
            </w:tcBorders>
            <w:noWrap w:val="0"/>
            <w:vAlign w:val="center"/>
          </w:tcPr>
          <w:p w14:paraId="52C824C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中国</w:t>
            </w:r>
          </w:p>
        </w:tc>
      </w:tr>
      <w:bookmarkEnd w:id="61"/>
      <w:bookmarkEnd w:id="62"/>
    </w:tbl>
    <w:p w14:paraId="7EC8C3DF">
      <w:pPr>
        <w:pStyle w:val="21"/>
        <w:ind w:left="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w:t>
      </w:r>
    </w:p>
    <w:p w14:paraId="351B2D7F">
      <w:pPr>
        <w:pStyle w:val="21"/>
        <w:ind w:left="0" w:leftChars="0" w:firstLine="0" w:firstLineChars="0"/>
        <w:jc w:val="both"/>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b w:val="0"/>
          <w:bCs w:val="0"/>
          <w:sz w:val="21"/>
          <w:szCs w:val="21"/>
          <w:lang w:val="en-US" w:eastAsia="zh-CN"/>
        </w:rPr>
        <w:t>检测设备参数如下：</w:t>
      </w:r>
    </w:p>
    <w:p w14:paraId="423F014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bookmarkStart w:id="63" w:name="_Toc3981"/>
      <w:bookmarkStart w:id="64" w:name="_Toc14378"/>
      <w:bookmarkStart w:id="65" w:name="_Toc18593"/>
      <w:bookmarkStart w:id="66" w:name="_Toc5177"/>
      <w:r>
        <w:rPr>
          <w:rFonts w:hint="eastAsia" w:asciiTheme="majorEastAsia" w:hAnsiTheme="majorEastAsia" w:eastAsiaTheme="majorEastAsia" w:cstheme="majorEastAsia"/>
          <w:color w:val="000000" w:themeColor="text1"/>
          <w:sz w:val="21"/>
          <w:szCs w:val="21"/>
          <w14:textFill>
            <w14:solidFill>
              <w14:schemeClr w14:val="tx1"/>
            </w14:solidFill>
          </w14:textFill>
        </w:rPr>
        <w:t>满足以下技术要求：</w:t>
      </w:r>
    </w:p>
    <w:p w14:paraId="4241489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——仪器量程及分辨率应符合HJ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中3.1.2的规定;</w:t>
      </w:r>
    </w:p>
    <w:p w14:paraId="4EB73BC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——采样流量应符合HJ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中3.1.3的规定；</w:t>
      </w:r>
    </w:p>
    <w:p w14:paraId="2A0CDB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——采样探头应符合HJ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中3.1.4的规定；</w:t>
      </w:r>
    </w:p>
    <w:p w14:paraId="7E40409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——仪器响应时间应符合HJ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中3.2.3的规定；</w:t>
      </w:r>
    </w:p>
    <w:p w14:paraId="2AC69DB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——相对示值误差应符合HJ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中3.2.2中的规定；</w:t>
      </w:r>
    </w:p>
    <w:p w14:paraId="51919EF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——恢复时间不应超过30s；</w:t>
      </w:r>
    </w:p>
    <w:p w14:paraId="3DD88D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——仪器进场检测一次的连续运行时间不低于8h；</w:t>
      </w:r>
    </w:p>
    <w:p w14:paraId="6D59F5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——具备数据存储功能，并能以无线或蓝牙方式下载和传输检测数据；</w:t>
      </w:r>
    </w:p>
    <w:p w14:paraId="48A5C4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——检测仪器或辅助工具应具有自动读取最大值功能；</w:t>
      </w:r>
    </w:p>
    <w:p w14:paraId="0835E9C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——宜有超限报警功能，报警阈值可以自由设定；</w:t>
      </w:r>
    </w:p>
    <w:p w14:paraId="329EE4F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——仪器应通过防爆认证，防爆等级符合使用场所的要求；</w:t>
      </w:r>
    </w:p>
    <w:p w14:paraId="6969D75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——仪器应安装消音器。</w:t>
      </w:r>
    </w:p>
    <w:p w14:paraId="012C2BB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1"/>
          <w:szCs w:val="21"/>
          <w14:textFill>
            <w14:solidFill>
              <w14:schemeClr w14:val="tx1"/>
            </w14:solidFill>
          </w14:textFill>
        </w:rPr>
        <w:t>标准气体</w:t>
      </w:r>
      <w:r>
        <w:rPr>
          <w:rFonts w:hint="eastAsia" w:asciiTheme="majorEastAsia" w:hAnsiTheme="majorEastAsia" w:eastAsiaTheme="majorEastAsia" w:cstheme="majorEastAsia"/>
          <w:color w:val="000000" w:themeColor="text1"/>
          <w:sz w:val="21"/>
          <w:szCs w:val="21"/>
          <w:lang w:eastAsia="zh-CN"/>
          <w14:textFill>
            <w14:solidFill>
              <w14:schemeClr w14:val="tx1"/>
            </w14:solidFill>
          </w14:textFill>
        </w:rPr>
        <w:t>：</w:t>
      </w:r>
    </w:p>
    <w:p w14:paraId="4D695F3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 xml:space="preserve">    检测用气体 需要准备的气体包括但不限于以下种类：</w:t>
      </w:r>
    </w:p>
    <w:p w14:paraId="3D22B5C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——零气，挥发性有机物浓度小于10µmol/mol的洁净空气（以CH4计）；</w:t>
      </w:r>
    </w:p>
    <w:p w14:paraId="18C20BE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——校准气体，指校准时用于将仪器读数调节至已知浓度的挥发性有机物。校准气体通常是接近相关控制标准浓度限值的参考化合物标准气体。</w:t>
      </w:r>
    </w:p>
    <w:p w14:paraId="15E23C2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——燃料气（高纯氢气99.99%），供气压力不低于10MPa。</w:t>
      </w:r>
    </w:p>
    <w:p w14:paraId="51A1B857">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val="en-US" w:eastAsia="zh-CN" w:bidi="en-US"/>
        </w:rPr>
        <w:t>2、</w:t>
      </w:r>
      <w:r>
        <w:rPr>
          <w:rFonts w:hint="eastAsia" w:asciiTheme="majorEastAsia" w:hAnsiTheme="majorEastAsia" w:eastAsiaTheme="majorEastAsia" w:cstheme="majorEastAsia"/>
          <w:sz w:val="21"/>
          <w:szCs w:val="21"/>
          <w:lang w:bidi="en-US"/>
        </w:rPr>
        <w:t>本轮次检测设备清单</w:t>
      </w:r>
      <w:r>
        <w:rPr>
          <w:rFonts w:hint="eastAsia" w:asciiTheme="majorEastAsia" w:hAnsiTheme="majorEastAsia" w:eastAsiaTheme="majorEastAsia" w:cstheme="majorEastAsia"/>
          <w:sz w:val="21"/>
          <w:szCs w:val="21"/>
          <w:lang w:eastAsia="zh-CN" w:bidi="en-US"/>
        </w:rPr>
        <w:t>：</w:t>
      </w:r>
    </w:p>
    <w:tbl>
      <w:tblPr>
        <w:tblStyle w:val="14"/>
        <w:tblpPr w:leftFromText="180" w:rightFromText="180" w:vertAnchor="text" w:horzAnchor="page" w:tblpXSpec="center" w:tblpY="812"/>
        <w:tblOverlap w:val="never"/>
        <w:tblW w:w="498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00"/>
        <w:gridCol w:w="2225"/>
        <w:gridCol w:w="1662"/>
        <w:gridCol w:w="1763"/>
        <w:gridCol w:w="1412"/>
        <w:gridCol w:w="1291"/>
      </w:tblGrid>
      <w:tr w14:paraId="36B5C2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restart"/>
            <w:tcBorders>
              <w:tl2br w:val="nil"/>
              <w:tr2bl w:val="nil"/>
            </w:tcBorders>
            <w:vAlign w:val="center"/>
          </w:tcPr>
          <w:p w14:paraId="4BD0EDB7">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检测仪</w:t>
            </w:r>
            <w:r>
              <w:rPr>
                <w:rFonts w:hint="eastAsia" w:asciiTheme="majorEastAsia" w:hAnsiTheme="majorEastAsia" w:eastAsiaTheme="majorEastAsia" w:cstheme="majorEastAsia"/>
                <w:sz w:val="21"/>
                <w:szCs w:val="21"/>
                <w:lang w:val="en-US" w:eastAsia="zh-CN" w:bidi="en-US"/>
              </w:rPr>
              <w:t xml:space="preserve"> </w:t>
            </w:r>
            <w:r>
              <w:rPr>
                <w:rFonts w:hint="eastAsia" w:asciiTheme="majorEastAsia" w:hAnsiTheme="majorEastAsia" w:eastAsiaTheme="majorEastAsia" w:cstheme="majorEastAsia"/>
                <w:sz w:val="21"/>
                <w:szCs w:val="21"/>
                <w:lang w:eastAsia="zh-CN" w:bidi="en-US"/>
              </w:rPr>
              <w:t>器</w:t>
            </w:r>
          </w:p>
        </w:tc>
        <w:tc>
          <w:tcPr>
            <w:tcW w:w="356" w:type="pct"/>
            <w:tcBorders>
              <w:tl2br w:val="nil"/>
              <w:tr2bl w:val="nil"/>
            </w:tcBorders>
            <w:vAlign w:val="center"/>
          </w:tcPr>
          <w:p w14:paraId="231C107A">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序号</w:t>
            </w:r>
          </w:p>
        </w:tc>
        <w:tc>
          <w:tcPr>
            <w:tcW w:w="1133" w:type="pct"/>
            <w:tcBorders>
              <w:tl2br w:val="nil"/>
              <w:tr2bl w:val="nil"/>
            </w:tcBorders>
            <w:vAlign w:val="center"/>
          </w:tcPr>
          <w:p w14:paraId="3E99C63C">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仪器名称</w:t>
            </w:r>
          </w:p>
        </w:tc>
        <w:tc>
          <w:tcPr>
            <w:tcW w:w="846" w:type="pct"/>
            <w:tcBorders>
              <w:tl2br w:val="nil"/>
              <w:tr2bl w:val="nil"/>
            </w:tcBorders>
            <w:vAlign w:val="center"/>
          </w:tcPr>
          <w:p w14:paraId="19D22223">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仪器编号</w:t>
            </w:r>
          </w:p>
        </w:tc>
        <w:tc>
          <w:tcPr>
            <w:tcW w:w="897" w:type="pct"/>
            <w:tcBorders>
              <w:tl2br w:val="nil"/>
              <w:tr2bl w:val="nil"/>
            </w:tcBorders>
            <w:vAlign w:val="center"/>
          </w:tcPr>
          <w:p w14:paraId="49CD6978">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仪器型号</w:t>
            </w:r>
          </w:p>
        </w:tc>
        <w:tc>
          <w:tcPr>
            <w:tcW w:w="719" w:type="pct"/>
            <w:tcBorders>
              <w:tl2br w:val="nil"/>
              <w:tr2bl w:val="nil"/>
            </w:tcBorders>
            <w:vAlign w:val="center"/>
          </w:tcPr>
          <w:p w14:paraId="603DC764">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检定时间</w:t>
            </w:r>
          </w:p>
        </w:tc>
        <w:tc>
          <w:tcPr>
            <w:tcW w:w="657" w:type="pct"/>
            <w:tcBorders>
              <w:tl2br w:val="nil"/>
              <w:tr2bl w:val="nil"/>
            </w:tcBorders>
            <w:vAlign w:val="center"/>
          </w:tcPr>
          <w:p w14:paraId="41155602">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检定有效期</w:t>
            </w:r>
          </w:p>
        </w:tc>
      </w:tr>
      <w:tr w14:paraId="1436B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33686BD0">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58F8894A">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1</w:t>
            </w:r>
          </w:p>
        </w:tc>
        <w:tc>
          <w:tcPr>
            <w:tcW w:w="1133" w:type="pct"/>
            <w:tcBorders>
              <w:tl2br w:val="nil"/>
              <w:tr2bl w:val="nil"/>
            </w:tcBorders>
            <w:vAlign w:val="center"/>
          </w:tcPr>
          <w:p w14:paraId="79766742">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eastAsia="zh-CN" w:bidi="en-US"/>
              </w:rPr>
              <w:t>挥发性有机物分析仪</w:t>
            </w:r>
          </w:p>
        </w:tc>
        <w:tc>
          <w:tcPr>
            <w:tcW w:w="846" w:type="pct"/>
            <w:tcBorders>
              <w:tl2br w:val="nil"/>
              <w:tr2bl w:val="nil"/>
            </w:tcBorders>
            <w:vAlign w:val="center"/>
          </w:tcPr>
          <w:p w14:paraId="44F84360">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T-003</w:t>
            </w:r>
          </w:p>
        </w:tc>
        <w:tc>
          <w:tcPr>
            <w:tcW w:w="897" w:type="pct"/>
            <w:tcBorders>
              <w:tl2br w:val="nil"/>
              <w:tr2bl w:val="nil"/>
            </w:tcBorders>
            <w:vAlign w:val="center"/>
          </w:tcPr>
          <w:p w14:paraId="094DEBF7">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ZR-3130</w:t>
            </w:r>
          </w:p>
        </w:tc>
        <w:tc>
          <w:tcPr>
            <w:tcW w:w="719" w:type="pct"/>
            <w:tcBorders>
              <w:tl2br w:val="nil"/>
              <w:tr2bl w:val="nil"/>
            </w:tcBorders>
            <w:vAlign w:val="center"/>
          </w:tcPr>
          <w:p w14:paraId="1FD14D47">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2024-06-12</w:t>
            </w:r>
          </w:p>
        </w:tc>
        <w:tc>
          <w:tcPr>
            <w:tcW w:w="657" w:type="pct"/>
            <w:tcBorders>
              <w:tl2br w:val="nil"/>
              <w:tr2bl w:val="nil"/>
            </w:tcBorders>
            <w:vAlign w:val="center"/>
          </w:tcPr>
          <w:p w14:paraId="174FD97D">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2025-06-11</w:t>
            </w:r>
          </w:p>
        </w:tc>
      </w:tr>
      <w:tr w14:paraId="2E2E8F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06156F42">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7FE3343A">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w:t>
            </w:r>
          </w:p>
        </w:tc>
        <w:tc>
          <w:tcPr>
            <w:tcW w:w="1133" w:type="pct"/>
            <w:tcBorders>
              <w:tl2br w:val="nil"/>
              <w:tr2bl w:val="nil"/>
            </w:tcBorders>
            <w:vAlign w:val="center"/>
          </w:tcPr>
          <w:p w14:paraId="60D578E9">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eastAsia="zh-CN" w:bidi="en-US"/>
              </w:rPr>
              <w:t>挥发性有机物分析仪</w:t>
            </w:r>
          </w:p>
        </w:tc>
        <w:tc>
          <w:tcPr>
            <w:tcW w:w="846" w:type="pct"/>
            <w:tcBorders>
              <w:tl2br w:val="nil"/>
              <w:tr2bl w:val="nil"/>
            </w:tcBorders>
            <w:vAlign w:val="center"/>
          </w:tcPr>
          <w:p w14:paraId="3B09FB78">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T-004</w:t>
            </w:r>
          </w:p>
        </w:tc>
        <w:tc>
          <w:tcPr>
            <w:tcW w:w="897" w:type="pct"/>
            <w:tcBorders>
              <w:tl2br w:val="nil"/>
              <w:tr2bl w:val="nil"/>
            </w:tcBorders>
            <w:vAlign w:val="center"/>
          </w:tcPr>
          <w:p w14:paraId="4A26100A">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ZR-3130</w:t>
            </w:r>
          </w:p>
        </w:tc>
        <w:tc>
          <w:tcPr>
            <w:tcW w:w="719" w:type="pct"/>
            <w:tcBorders>
              <w:tl2br w:val="nil"/>
              <w:tr2bl w:val="nil"/>
            </w:tcBorders>
            <w:vAlign w:val="center"/>
          </w:tcPr>
          <w:p w14:paraId="7ABFCA18">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2024-06-12</w:t>
            </w:r>
          </w:p>
        </w:tc>
        <w:tc>
          <w:tcPr>
            <w:tcW w:w="657" w:type="pct"/>
            <w:tcBorders>
              <w:tl2br w:val="nil"/>
              <w:tr2bl w:val="nil"/>
            </w:tcBorders>
            <w:vAlign w:val="center"/>
          </w:tcPr>
          <w:p w14:paraId="22AA5A2E">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2025-06-11</w:t>
            </w:r>
          </w:p>
        </w:tc>
      </w:tr>
      <w:tr w14:paraId="05A35E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332D36AB">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46AB6CAD">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3</w:t>
            </w:r>
          </w:p>
        </w:tc>
        <w:tc>
          <w:tcPr>
            <w:tcW w:w="1133" w:type="pct"/>
            <w:tcBorders>
              <w:tl2br w:val="nil"/>
              <w:tr2bl w:val="nil"/>
            </w:tcBorders>
            <w:vAlign w:val="center"/>
          </w:tcPr>
          <w:p w14:paraId="34DE9CF4">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eastAsia="zh-CN" w:bidi="en-US"/>
              </w:rPr>
              <w:t>挥发性有机物分析仪</w:t>
            </w:r>
          </w:p>
        </w:tc>
        <w:tc>
          <w:tcPr>
            <w:tcW w:w="846" w:type="pct"/>
            <w:tcBorders>
              <w:tl2br w:val="nil"/>
              <w:tr2bl w:val="nil"/>
            </w:tcBorders>
            <w:vAlign w:val="center"/>
          </w:tcPr>
          <w:p w14:paraId="0076CA0B">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T-005</w:t>
            </w:r>
          </w:p>
        </w:tc>
        <w:tc>
          <w:tcPr>
            <w:tcW w:w="897" w:type="pct"/>
            <w:tcBorders>
              <w:tl2br w:val="nil"/>
              <w:tr2bl w:val="nil"/>
            </w:tcBorders>
            <w:vAlign w:val="center"/>
          </w:tcPr>
          <w:p w14:paraId="6B999540">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ZR-3130</w:t>
            </w:r>
          </w:p>
        </w:tc>
        <w:tc>
          <w:tcPr>
            <w:tcW w:w="719" w:type="pct"/>
            <w:tcBorders>
              <w:tl2br w:val="nil"/>
              <w:tr2bl w:val="nil"/>
            </w:tcBorders>
            <w:vAlign w:val="center"/>
          </w:tcPr>
          <w:p w14:paraId="64FCAB46">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2024-06-12</w:t>
            </w:r>
          </w:p>
        </w:tc>
        <w:tc>
          <w:tcPr>
            <w:tcW w:w="657" w:type="pct"/>
            <w:tcBorders>
              <w:tl2br w:val="nil"/>
              <w:tr2bl w:val="nil"/>
            </w:tcBorders>
            <w:vAlign w:val="center"/>
          </w:tcPr>
          <w:p w14:paraId="13344D76">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2025-06-11</w:t>
            </w:r>
          </w:p>
        </w:tc>
      </w:tr>
      <w:tr w14:paraId="47F757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3AF16899">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67829114">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4</w:t>
            </w:r>
          </w:p>
        </w:tc>
        <w:tc>
          <w:tcPr>
            <w:tcW w:w="1133" w:type="pct"/>
            <w:tcBorders>
              <w:tl2br w:val="nil"/>
              <w:tr2bl w:val="nil"/>
            </w:tcBorders>
            <w:shd w:val="clear" w:color="auto" w:fill="auto"/>
            <w:vAlign w:val="center"/>
          </w:tcPr>
          <w:p w14:paraId="6FF4DEA6">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eastAsia="zh-CN" w:bidi="en-US"/>
              </w:rPr>
              <w:t>挥发性有机物分析仪</w:t>
            </w:r>
          </w:p>
        </w:tc>
        <w:tc>
          <w:tcPr>
            <w:tcW w:w="846" w:type="pct"/>
            <w:tcBorders>
              <w:tl2br w:val="nil"/>
              <w:tr2bl w:val="nil"/>
            </w:tcBorders>
            <w:shd w:val="clear" w:color="auto" w:fill="auto"/>
            <w:vAlign w:val="center"/>
          </w:tcPr>
          <w:p w14:paraId="6347636D">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T-006</w:t>
            </w:r>
          </w:p>
        </w:tc>
        <w:tc>
          <w:tcPr>
            <w:tcW w:w="897" w:type="pct"/>
            <w:tcBorders>
              <w:tl2br w:val="nil"/>
              <w:tr2bl w:val="nil"/>
            </w:tcBorders>
            <w:shd w:val="clear" w:color="auto" w:fill="auto"/>
            <w:vAlign w:val="center"/>
          </w:tcPr>
          <w:p w14:paraId="206FEC66">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EXEPC3100</w:t>
            </w:r>
          </w:p>
        </w:tc>
        <w:tc>
          <w:tcPr>
            <w:tcW w:w="719" w:type="pct"/>
            <w:tcBorders>
              <w:tl2br w:val="nil"/>
              <w:tr2bl w:val="nil"/>
            </w:tcBorders>
            <w:shd w:val="clear" w:color="auto" w:fill="auto"/>
            <w:vAlign w:val="center"/>
          </w:tcPr>
          <w:p w14:paraId="6651562B">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2023-12-20</w:t>
            </w:r>
          </w:p>
        </w:tc>
        <w:tc>
          <w:tcPr>
            <w:tcW w:w="657" w:type="pct"/>
            <w:tcBorders>
              <w:tl2br w:val="nil"/>
              <w:tr2bl w:val="nil"/>
            </w:tcBorders>
            <w:shd w:val="clear" w:color="auto" w:fill="auto"/>
            <w:vAlign w:val="center"/>
          </w:tcPr>
          <w:p w14:paraId="0D6479FB">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2024-12-19</w:t>
            </w:r>
          </w:p>
        </w:tc>
      </w:tr>
      <w:tr w14:paraId="6A1AED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3959A15F">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279A4A99">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5</w:t>
            </w:r>
          </w:p>
        </w:tc>
        <w:tc>
          <w:tcPr>
            <w:tcW w:w="1133" w:type="pct"/>
            <w:tcBorders>
              <w:tl2br w:val="nil"/>
              <w:tr2bl w:val="nil"/>
            </w:tcBorders>
            <w:vAlign w:val="center"/>
          </w:tcPr>
          <w:p w14:paraId="1567E38E">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eastAsia="zh-CN" w:bidi="en-US"/>
              </w:rPr>
              <w:t>手持气象站</w:t>
            </w:r>
          </w:p>
        </w:tc>
        <w:tc>
          <w:tcPr>
            <w:tcW w:w="846" w:type="pct"/>
            <w:tcBorders>
              <w:tl2br w:val="nil"/>
              <w:tr2bl w:val="nil"/>
            </w:tcBorders>
            <w:vAlign w:val="center"/>
          </w:tcPr>
          <w:p w14:paraId="6C1719E6">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T-008</w:t>
            </w:r>
          </w:p>
        </w:tc>
        <w:tc>
          <w:tcPr>
            <w:tcW w:w="897" w:type="pct"/>
            <w:tcBorders>
              <w:tl2br w:val="nil"/>
              <w:tr2bl w:val="nil"/>
            </w:tcBorders>
            <w:vAlign w:val="center"/>
          </w:tcPr>
          <w:p w14:paraId="7468CEBA">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WS-30</w:t>
            </w:r>
          </w:p>
        </w:tc>
        <w:tc>
          <w:tcPr>
            <w:tcW w:w="719" w:type="pct"/>
            <w:tcBorders>
              <w:tl2br w:val="nil"/>
              <w:tr2bl w:val="nil"/>
            </w:tcBorders>
            <w:vAlign w:val="center"/>
          </w:tcPr>
          <w:p w14:paraId="68700D04">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2024-06-12</w:t>
            </w:r>
          </w:p>
        </w:tc>
        <w:tc>
          <w:tcPr>
            <w:tcW w:w="657" w:type="pct"/>
            <w:tcBorders>
              <w:tl2br w:val="nil"/>
              <w:tr2bl w:val="nil"/>
            </w:tcBorders>
            <w:vAlign w:val="center"/>
          </w:tcPr>
          <w:p w14:paraId="0FDCD14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2025-06-11</w:t>
            </w:r>
          </w:p>
        </w:tc>
      </w:tr>
      <w:tr w14:paraId="6EE962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restart"/>
            <w:tcBorders>
              <w:tl2br w:val="nil"/>
              <w:tr2bl w:val="nil"/>
            </w:tcBorders>
            <w:vAlign w:val="center"/>
          </w:tcPr>
          <w:p w14:paraId="067C9D31">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校准物</w:t>
            </w:r>
            <w:r>
              <w:rPr>
                <w:rFonts w:hint="eastAsia" w:asciiTheme="majorEastAsia" w:hAnsiTheme="majorEastAsia" w:eastAsiaTheme="majorEastAsia" w:cstheme="majorEastAsia"/>
                <w:sz w:val="21"/>
                <w:szCs w:val="21"/>
                <w:lang w:val="en-US" w:eastAsia="zh-CN" w:bidi="en-US"/>
              </w:rPr>
              <w:t xml:space="preserve"> </w:t>
            </w:r>
            <w:r>
              <w:rPr>
                <w:rFonts w:hint="eastAsia" w:asciiTheme="majorEastAsia" w:hAnsiTheme="majorEastAsia" w:eastAsiaTheme="majorEastAsia" w:cstheme="majorEastAsia"/>
                <w:sz w:val="21"/>
                <w:szCs w:val="21"/>
                <w:lang w:eastAsia="zh-CN" w:bidi="en-US"/>
              </w:rPr>
              <w:t>质</w:t>
            </w:r>
          </w:p>
        </w:tc>
        <w:tc>
          <w:tcPr>
            <w:tcW w:w="356" w:type="pct"/>
            <w:tcBorders>
              <w:tl2br w:val="nil"/>
              <w:tr2bl w:val="nil"/>
            </w:tcBorders>
            <w:vAlign w:val="center"/>
          </w:tcPr>
          <w:p w14:paraId="645D8FB8">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序号</w:t>
            </w:r>
          </w:p>
        </w:tc>
        <w:tc>
          <w:tcPr>
            <w:tcW w:w="1133" w:type="pct"/>
            <w:tcBorders>
              <w:tl2br w:val="nil"/>
              <w:tr2bl w:val="nil"/>
            </w:tcBorders>
            <w:vAlign w:val="center"/>
          </w:tcPr>
          <w:p w14:paraId="0ED9D95D">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val="en-US" w:eastAsia="zh-CN" w:bidi="en-US"/>
              </w:rPr>
              <w:t>标准物质编号</w:t>
            </w:r>
          </w:p>
        </w:tc>
        <w:tc>
          <w:tcPr>
            <w:tcW w:w="846" w:type="pct"/>
            <w:tcBorders>
              <w:tl2br w:val="nil"/>
              <w:tr2bl w:val="nil"/>
            </w:tcBorders>
            <w:vAlign w:val="center"/>
          </w:tcPr>
          <w:p w14:paraId="35F9EC4B">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样品编号</w:t>
            </w:r>
          </w:p>
        </w:tc>
        <w:tc>
          <w:tcPr>
            <w:tcW w:w="897" w:type="pct"/>
            <w:tcBorders>
              <w:tl2br w:val="nil"/>
              <w:tr2bl w:val="nil"/>
            </w:tcBorders>
            <w:vAlign w:val="center"/>
          </w:tcPr>
          <w:p w14:paraId="4E4C52EB">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标气浓度</w:t>
            </w:r>
          </w:p>
          <w:p w14:paraId="75A53A7C">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（μmol/mol）</w:t>
            </w:r>
          </w:p>
        </w:tc>
        <w:tc>
          <w:tcPr>
            <w:tcW w:w="719" w:type="pct"/>
            <w:tcBorders>
              <w:tl2br w:val="nil"/>
              <w:tr2bl w:val="nil"/>
            </w:tcBorders>
            <w:vAlign w:val="center"/>
          </w:tcPr>
          <w:p w14:paraId="6A0D56E0">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定值日期</w:t>
            </w:r>
          </w:p>
        </w:tc>
        <w:tc>
          <w:tcPr>
            <w:tcW w:w="657" w:type="pct"/>
            <w:tcBorders>
              <w:tl2br w:val="nil"/>
              <w:tr2bl w:val="nil"/>
            </w:tcBorders>
            <w:vAlign w:val="center"/>
          </w:tcPr>
          <w:p w14:paraId="5BD46646">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有效期</w:t>
            </w:r>
          </w:p>
        </w:tc>
      </w:tr>
      <w:tr w14:paraId="6A3521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7315845B">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bookmarkStart w:id="112" w:name="_GoBack" w:colFirst="2" w:colLast="6"/>
          </w:p>
        </w:tc>
        <w:tc>
          <w:tcPr>
            <w:tcW w:w="356" w:type="pct"/>
            <w:tcBorders>
              <w:tl2br w:val="nil"/>
              <w:tr2bl w:val="nil"/>
            </w:tcBorders>
            <w:vAlign w:val="center"/>
          </w:tcPr>
          <w:p w14:paraId="14ED072F">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1</w:t>
            </w:r>
          </w:p>
        </w:tc>
        <w:tc>
          <w:tcPr>
            <w:tcW w:w="1133" w:type="pct"/>
            <w:tcBorders>
              <w:tl2br w:val="nil"/>
              <w:tr2bl w:val="nil"/>
            </w:tcBorders>
            <w:shd w:val="clear"/>
            <w:vAlign w:val="center"/>
          </w:tcPr>
          <w:p w14:paraId="1F096EFB">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GBW(E)060500</w:t>
            </w:r>
          </w:p>
        </w:tc>
        <w:tc>
          <w:tcPr>
            <w:tcW w:w="846" w:type="pct"/>
            <w:tcBorders>
              <w:tl2br w:val="nil"/>
              <w:tr2bl w:val="nil"/>
            </w:tcBorders>
            <w:shd w:val="clear"/>
            <w:vAlign w:val="center"/>
          </w:tcPr>
          <w:p w14:paraId="3CC676D9">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2100501026</w:t>
            </w:r>
          </w:p>
        </w:tc>
        <w:tc>
          <w:tcPr>
            <w:tcW w:w="897" w:type="pct"/>
            <w:tcBorders>
              <w:tl2br w:val="nil"/>
              <w:tr2bl w:val="nil"/>
            </w:tcBorders>
            <w:shd w:val="clear"/>
            <w:vAlign w:val="center"/>
          </w:tcPr>
          <w:p w14:paraId="302A5F9B">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0</w:t>
            </w:r>
          </w:p>
        </w:tc>
        <w:tc>
          <w:tcPr>
            <w:tcW w:w="719" w:type="pct"/>
            <w:tcBorders>
              <w:tl2br w:val="nil"/>
              <w:tr2bl w:val="nil"/>
            </w:tcBorders>
            <w:shd w:val="clear"/>
            <w:vAlign w:val="center"/>
          </w:tcPr>
          <w:p w14:paraId="15E27154">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2024-03-02</w:t>
            </w:r>
          </w:p>
        </w:tc>
        <w:tc>
          <w:tcPr>
            <w:tcW w:w="657" w:type="pct"/>
            <w:tcBorders>
              <w:tl2br w:val="nil"/>
              <w:tr2bl w:val="nil"/>
            </w:tcBorders>
            <w:shd w:val="clear"/>
            <w:vAlign w:val="center"/>
          </w:tcPr>
          <w:p w14:paraId="07D88C5D">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2025-03-01</w:t>
            </w:r>
          </w:p>
        </w:tc>
      </w:tr>
      <w:tr w14:paraId="02FFCB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620D793D">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6EBA3DBF">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2</w:t>
            </w:r>
          </w:p>
        </w:tc>
        <w:tc>
          <w:tcPr>
            <w:tcW w:w="1133" w:type="pct"/>
            <w:tcBorders>
              <w:tl2br w:val="nil"/>
              <w:tr2bl w:val="nil"/>
            </w:tcBorders>
            <w:shd w:val="clear"/>
            <w:vAlign w:val="center"/>
          </w:tcPr>
          <w:p w14:paraId="573B1439">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GBW(E)062617</w:t>
            </w:r>
          </w:p>
        </w:tc>
        <w:tc>
          <w:tcPr>
            <w:tcW w:w="846" w:type="pct"/>
            <w:tcBorders>
              <w:tl2br w:val="nil"/>
              <w:tr2bl w:val="nil"/>
            </w:tcBorders>
            <w:shd w:val="clear"/>
            <w:vAlign w:val="center"/>
          </w:tcPr>
          <w:p w14:paraId="5742154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2210111012</w:t>
            </w:r>
          </w:p>
        </w:tc>
        <w:tc>
          <w:tcPr>
            <w:tcW w:w="897" w:type="pct"/>
            <w:tcBorders>
              <w:tl2br w:val="nil"/>
              <w:tr2bl w:val="nil"/>
            </w:tcBorders>
            <w:shd w:val="clear"/>
            <w:vAlign w:val="center"/>
          </w:tcPr>
          <w:p w14:paraId="6E0D27DB">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200</w:t>
            </w:r>
          </w:p>
        </w:tc>
        <w:tc>
          <w:tcPr>
            <w:tcW w:w="719" w:type="pct"/>
            <w:tcBorders>
              <w:tl2br w:val="nil"/>
              <w:tr2bl w:val="nil"/>
            </w:tcBorders>
            <w:shd w:val="clear"/>
            <w:vAlign w:val="center"/>
          </w:tcPr>
          <w:p w14:paraId="5F4144E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2024-06-19</w:t>
            </w:r>
          </w:p>
        </w:tc>
        <w:tc>
          <w:tcPr>
            <w:tcW w:w="657" w:type="pct"/>
            <w:tcBorders>
              <w:tl2br w:val="nil"/>
              <w:tr2bl w:val="nil"/>
            </w:tcBorders>
            <w:shd w:val="clear"/>
            <w:vAlign w:val="center"/>
          </w:tcPr>
          <w:p w14:paraId="544DD298">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2025-06-18</w:t>
            </w:r>
          </w:p>
        </w:tc>
      </w:tr>
      <w:tr w14:paraId="66880A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5EB80A4A">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6AFD2B59">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3</w:t>
            </w:r>
          </w:p>
        </w:tc>
        <w:tc>
          <w:tcPr>
            <w:tcW w:w="1133" w:type="pct"/>
            <w:tcBorders>
              <w:tl2br w:val="nil"/>
              <w:tr2bl w:val="nil"/>
            </w:tcBorders>
            <w:shd w:val="clear"/>
            <w:vAlign w:val="center"/>
          </w:tcPr>
          <w:p w14:paraId="2C7D17B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GBW(E)062617</w:t>
            </w:r>
          </w:p>
        </w:tc>
        <w:tc>
          <w:tcPr>
            <w:tcW w:w="846" w:type="pct"/>
            <w:tcBorders>
              <w:tl2br w:val="nil"/>
              <w:tr2bl w:val="nil"/>
            </w:tcBorders>
            <w:shd w:val="clear"/>
            <w:vAlign w:val="center"/>
          </w:tcPr>
          <w:p w14:paraId="2E291DC1">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FY08061</w:t>
            </w:r>
          </w:p>
        </w:tc>
        <w:tc>
          <w:tcPr>
            <w:tcW w:w="897" w:type="pct"/>
            <w:tcBorders>
              <w:tl2br w:val="nil"/>
              <w:tr2bl w:val="nil"/>
            </w:tcBorders>
            <w:shd w:val="clear"/>
            <w:vAlign w:val="center"/>
          </w:tcPr>
          <w:p w14:paraId="03E57137">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501</w:t>
            </w:r>
          </w:p>
        </w:tc>
        <w:tc>
          <w:tcPr>
            <w:tcW w:w="719" w:type="pct"/>
            <w:tcBorders>
              <w:tl2br w:val="nil"/>
              <w:tr2bl w:val="nil"/>
            </w:tcBorders>
            <w:shd w:val="clear"/>
            <w:vAlign w:val="center"/>
          </w:tcPr>
          <w:p w14:paraId="27A557A3">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2024-06-19</w:t>
            </w:r>
          </w:p>
        </w:tc>
        <w:tc>
          <w:tcPr>
            <w:tcW w:w="657" w:type="pct"/>
            <w:tcBorders>
              <w:tl2br w:val="nil"/>
              <w:tr2bl w:val="nil"/>
            </w:tcBorders>
            <w:shd w:val="clear"/>
            <w:vAlign w:val="center"/>
          </w:tcPr>
          <w:p w14:paraId="452F8F00">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2025-06-18</w:t>
            </w:r>
          </w:p>
        </w:tc>
      </w:tr>
      <w:tr w14:paraId="17B0AB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7A02F0E5">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303BC049">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4</w:t>
            </w:r>
          </w:p>
        </w:tc>
        <w:tc>
          <w:tcPr>
            <w:tcW w:w="1133" w:type="pct"/>
            <w:tcBorders>
              <w:tl2br w:val="nil"/>
              <w:tr2bl w:val="nil"/>
            </w:tcBorders>
            <w:shd w:val="clear"/>
            <w:vAlign w:val="center"/>
          </w:tcPr>
          <w:p w14:paraId="0D83D03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GBW(E)062617</w:t>
            </w:r>
          </w:p>
        </w:tc>
        <w:tc>
          <w:tcPr>
            <w:tcW w:w="846" w:type="pct"/>
            <w:tcBorders>
              <w:tl2br w:val="nil"/>
              <w:tr2bl w:val="nil"/>
            </w:tcBorders>
            <w:shd w:val="clear"/>
            <w:vAlign w:val="center"/>
          </w:tcPr>
          <w:p w14:paraId="32625321">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72903061</w:t>
            </w:r>
          </w:p>
        </w:tc>
        <w:tc>
          <w:tcPr>
            <w:tcW w:w="897" w:type="pct"/>
            <w:tcBorders>
              <w:tl2br w:val="nil"/>
              <w:tr2bl w:val="nil"/>
            </w:tcBorders>
            <w:shd w:val="clear"/>
            <w:vAlign w:val="center"/>
          </w:tcPr>
          <w:p w14:paraId="31E046B4">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10000</w:t>
            </w:r>
          </w:p>
        </w:tc>
        <w:tc>
          <w:tcPr>
            <w:tcW w:w="719" w:type="pct"/>
            <w:tcBorders>
              <w:tl2br w:val="nil"/>
              <w:tr2bl w:val="nil"/>
            </w:tcBorders>
            <w:shd w:val="clear"/>
            <w:vAlign w:val="center"/>
          </w:tcPr>
          <w:p w14:paraId="63EC0FA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2024-06-19</w:t>
            </w:r>
          </w:p>
        </w:tc>
        <w:tc>
          <w:tcPr>
            <w:tcW w:w="657" w:type="pct"/>
            <w:tcBorders>
              <w:tl2br w:val="nil"/>
              <w:tr2bl w:val="nil"/>
            </w:tcBorders>
            <w:shd w:val="clear"/>
            <w:vAlign w:val="center"/>
          </w:tcPr>
          <w:p w14:paraId="1CC63D6B">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2025-06-18</w:t>
            </w:r>
          </w:p>
        </w:tc>
      </w:tr>
      <w:bookmarkEnd w:id="112"/>
    </w:tbl>
    <w:p w14:paraId="588D1270">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p w14:paraId="0A90ACF0">
      <w:pPr>
        <w:pStyle w:val="4"/>
        <w:numPr>
          <w:ilvl w:val="1"/>
          <w:numId w:val="0"/>
        </w:numPr>
        <w:bidi w:val="0"/>
        <w:ind w:leftChars="0"/>
        <w:rPr>
          <w:rFonts w:hint="eastAsia" w:asciiTheme="majorEastAsia" w:hAnsiTheme="majorEastAsia" w:eastAsiaTheme="majorEastAsia" w:cstheme="majorEastAsia"/>
          <w:lang w:val="en-US" w:eastAsia="zh-CN"/>
        </w:rPr>
      </w:pPr>
    </w:p>
    <w:p w14:paraId="04A7949D">
      <w:pPr>
        <w:pStyle w:val="4"/>
        <w:numPr>
          <w:ilvl w:val="1"/>
          <w:numId w:val="0"/>
        </w:numPr>
        <w:bidi w:val="0"/>
        <w:ind w:leftChars="0"/>
        <w:rPr>
          <w:rFonts w:hint="eastAsia" w:asciiTheme="majorEastAsia" w:hAnsiTheme="majorEastAsia" w:eastAsiaTheme="majorEastAsia" w:cstheme="majorEastAsia"/>
          <w:lang w:val="en-US" w:eastAsia="zh-CN"/>
        </w:rPr>
      </w:pPr>
      <w:bookmarkStart w:id="67" w:name="_Toc20088"/>
      <w:r>
        <w:rPr>
          <w:rFonts w:hint="eastAsia" w:asciiTheme="majorEastAsia" w:hAnsiTheme="majorEastAsia" w:eastAsiaTheme="majorEastAsia" w:cstheme="majorEastAsia"/>
          <w:lang w:val="en-US" w:eastAsia="zh-CN"/>
        </w:rPr>
        <w:t>3.2</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lang w:val="en-US" w:eastAsia="zh-CN"/>
        </w:rPr>
        <w:t>现场作业安全检查</w:t>
      </w:r>
      <w:bookmarkEnd w:id="63"/>
      <w:bookmarkEnd w:id="64"/>
      <w:bookmarkEnd w:id="65"/>
      <w:bookmarkEnd w:id="66"/>
      <w:bookmarkEnd w:id="67"/>
    </w:p>
    <w:p w14:paraId="065BC1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现场作业安全检查情况，如：作业环境、检测人员劳动防护用品等情况</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见现场环境及安全检查表</w:t>
      </w:r>
      <w:r>
        <w:rPr>
          <w:rFonts w:hint="eastAsia" w:asciiTheme="majorEastAsia" w:hAnsiTheme="majorEastAsia" w:eastAsiaTheme="majorEastAsia" w:cstheme="majorEastAsia"/>
          <w:sz w:val="21"/>
          <w:szCs w:val="21"/>
          <w:lang w:eastAsia="zh-CN"/>
        </w:rPr>
        <w:t>）。</w:t>
      </w:r>
    </w:p>
    <w:p w14:paraId="71A89900">
      <w:pPr>
        <w:rPr>
          <w:rFonts w:hint="eastAsia" w:asciiTheme="majorEastAsia" w:hAnsiTheme="majorEastAsia" w:eastAsiaTheme="majorEastAsia" w:cstheme="majorEastAsia"/>
          <w:lang w:val="en-US" w:eastAsia="zh-CN"/>
        </w:rPr>
      </w:pPr>
    </w:p>
    <w:p w14:paraId="251B4B4A">
      <w:pPr>
        <w:pStyle w:val="4"/>
        <w:numPr>
          <w:ilvl w:val="1"/>
          <w:numId w:val="0"/>
        </w:numPr>
        <w:pBdr>
          <w:top w:val="none" w:color="auto" w:sz="0" w:space="0"/>
          <w:left w:val="none" w:color="auto" w:sz="0" w:space="0"/>
          <w:bottom w:val="none" w:color="auto" w:sz="0" w:space="0"/>
          <w:right w:val="none" w:color="auto" w:sz="0" w:space="0"/>
        </w:pBdr>
        <w:shd w:val="clear"/>
        <w:bidi w:val="0"/>
        <w:ind w:leftChars="0"/>
        <w:rPr>
          <w:rFonts w:hint="eastAsia" w:asciiTheme="majorEastAsia" w:hAnsiTheme="majorEastAsia" w:eastAsiaTheme="majorEastAsia" w:cstheme="majorEastAsia"/>
          <w:lang w:val="en-US" w:eastAsia="zh-CN"/>
        </w:rPr>
      </w:pPr>
      <w:bookmarkStart w:id="68" w:name="_Toc10519"/>
      <w:r>
        <w:rPr>
          <w:rFonts w:hint="eastAsia" w:asciiTheme="majorEastAsia" w:hAnsiTheme="majorEastAsia" w:eastAsiaTheme="majorEastAsia" w:cstheme="majorEastAsia"/>
          <w:lang w:val="en-US" w:eastAsia="zh-CN"/>
        </w:rPr>
        <w:t>3.3 现场检测记录</w:t>
      </w:r>
      <w:bookmarkEnd w:id="68"/>
    </w:p>
    <w:p w14:paraId="7ECD422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现场检测记录情况，以列表方式记录，内容涵盖检测日期、检测时间、物料状态、背景值、检测值、泄漏定义浓度值、密封点编码、群组编码、区域、装置、密封点类型等</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见</w:t>
      </w:r>
      <w:r>
        <w:rPr>
          <w:rFonts w:hint="eastAsia" w:asciiTheme="majorEastAsia" w:hAnsiTheme="majorEastAsia" w:eastAsiaTheme="majorEastAsia" w:cstheme="majorEastAsia"/>
          <w:sz w:val="21"/>
          <w:szCs w:val="21"/>
          <w:lang w:eastAsia="zh-CN"/>
        </w:rPr>
        <w:t>泄漏检测与修复（LDAR）</w:t>
      </w:r>
      <w:r>
        <w:rPr>
          <w:rFonts w:hint="eastAsia" w:asciiTheme="majorEastAsia" w:hAnsiTheme="majorEastAsia" w:eastAsiaTheme="majorEastAsia" w:cstheme="majorEastAsia"/>
          <w:sz w:val="21"/>
          <w:szCs w:val="21"/>
        </w:rPr>
        <w:t>密封点</w:t>
      </w:r>
      <w:r>
        <w:rPr>
          <w:rFonts w:hint="eastAsia" w:asciiTheme="majorEastAsia" w:hAnsiTheme="majorEastAsia" w:eastAsiaTheme="majorEastAsia" w:cstheme="majorEastAsia"/>
          <w:sz w:val="21"/>
          <w:szCs w:val="21"/>
          <w:lang w:val="en-US" w:eastAsia="zh-CN"/>
        </w:rPr>
        <w:t>检测</w:t>
      </w:r>
      <w:r>
        <w:rPr>
          <w:rFonts w:hint="eastAsia" w:asciiTheme="majorEastAsia" w:hAnsiTheme="majorEastAsia" w:eastAsiaTheme="majorEastAsia" w:cstheme="majorEastAsia"/>
          <w:sz w:val="21"/>
          <w:szCs w:val="21"/>
        </w:rPr>
        <w:t>记录</w:t>
      </w:r>
      <w:r>
        <w:rPr>
          <w:rFonts w:hint="eastAsia" w:asciiTheme="majorEastAsia" w:hAnsiTheme="majorEastAsia" w:eastAsiaTheme="majorEastAsia" w:cstheme="majorEastAsia"/>
          <w:sz w:val="21"/>
          <w:szCs w:val="21"/>
          <w:lang w:eastAsia="zh-CN"/>
        </w:rPr>
        <w:t>）。</w:t>
      </w:r>
    </w:p>
    <w:p w14:paraId="6986EEFF">
      <w:pPr>
        <w:pStyle w:val="4"/>
        <w:numPr>
          <w:ilvl w:val="1"/>
          <w:numId w:val="0"/>
        </w:numPr>
        <w:bidi w:val="0"/>
        <w:ind w:leftChars="0"/>
        <w:rPr>
          <w:rFonts w:hint="eastAsia" w:asciiTheme="majorEastAsia" w:hAnsiTheme="majorEastAsia" w:eastAsiaTheme="majorEastAsia" w:cstheme="majorEastAsia"/>
          <w:lang w:val="en-US" w:eastAsia="zh-CN"/>
        </w:rPr>
      </w:pPr>
      <w:bookmarkStart w:id="69" w:name="_Toc32086"/>
      <w:r>
        <w:rPr>
          <w:rFonts w:hint="eastAsia" w:asciiTheme="majorEastAsia" w:hAnsiTheme="majorEastAsia" w:eastAsiaTheme="majorEastAsia" w:cstheme="majorEastAsia"/>
          <w:lang w:val="en-US" w:eastAsia="zh-CN"/>
        </w:rPr>
        <w:t>3.4现场检测情况录入企业LDAR软件管理系统</w:t>
      </w:r>
      <w:bookmarkEnd w:id="69"/>
    </w:p>
    <w:p w14:paraId="34E4D6DB">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VOCs管控平台系统，是一个面向化工企业，统计分析VOCs无组织排放量的服务型结构组件模型，可以实现对不同装置、区域的泄漏点、泄漏量、减排量的统计分析，主要功能如下：</w:t>
      </w:r>
    </w:p>
    <w:p w14:paraId="26493069">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 密封点台账的上传管理；</w:t>
      </w:r>
    </w:p>
    <w:p w14:paraId="624961F7">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 检测计划、工单、复检计划等的制定与管理；</w:t>
      </w:r>
    </w:p>
    <w:p w14:paraId="49952757">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 密封点检测数据的上传、计算、统计、管理；</w:t>
      </w:r>
    </w:p>
    <w:p w14:paraId="7CB78D53">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 密封点、泄漏点等的分类统计；</w:t>
      </w:r>
    </w:p>
    <w:p w14:paraId="4FDA12F0">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 各装置泄漏量、减排量、泄漏量浓度等的计算统计分析；</w:t>
      </w:r>
    </w:p>
    <w:p w14:paraId="7D4C2D4B">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 装置泄漏量分物料统计、装置历史检测统计分析等；</w:t>
      </w:r>
    </w:p>
    <w:p w14:paraId="569E896C">
      <w:pPr>
        <w:keepNext w:val="0"/>
        <w:keepLines w:val="0"/>
        <w:pageBreakBefore w:val="0"/>
        <w:tabs>
          <w:tab w:val="left" w:pos="4170"/>
        </w:tabs>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 设备工艺物料分析。</w:t>
      </w:r>
    </w:p>
    <w:p w14:paraId="17823AA6">
      <w:pPr>
        <w:pStyle w:val="6"/>
        <w:ind w:firstLine="420" w:firstLineChars="200"/>
        <w:rPr>
          <w:rFonts w:hint="eastAsia" w:asciiTheme="majorEastAsia" w:hAnsiTheme="majorEastAsia" w:eastAsiaTheme="majorEastAsia" w:cstheme="majorEastAsia"/>
          <w:b/>
          <w:bCs/>
          <w:color w:val="auto"/>
          <w:lang w:val="en-US" w:eastAsia="zh-CN"/>
        </w:rPr>
      </w:pPr>
      <w:r>
        <w:rPr>
          <w:rFonts w:hint="eastAsia" w:asciiTheme="majorEastAsia" w:hAnsiTheme="majorEastAsia" w:eastAsiaTheme="majorEastAsia" w:cstheme="majorEastAsia"/>
          <w:kern w:val="0"/>
          <w:sz w:val="21"/>
          <w:szCs w:val="21"/>
        </w:rPr>
        <w:t>VOCs管控平台以上功能的实现，为企业建立起设备密封点数据库，为现场检测和后续修复效果的跟踪提供信息管理支持。该系统不但能够实现泄漏密封点的提报、管理、整改的信息，而且还能实现泄漏量、减排量、泄漏量浓度以及检测历史的计算统计分析等，从而简化企业VOCs的治理程序，节省人力物力，降低物料损耗，为企业带来更多的经济效益，减少环境污，改善大气环境质量。</w:t>
      </w:r>
      <w:bookmarkStart w:id="70" w:name="_Toc16051"/>
      <w:bookmarkStart w:id="71" w:name="_Toc3"/>
      <w:bookmarkStart w:id="72" w:name="_Toc13170"/>
      <w:bookmarkStart w:id="73" w:name="_Toc31257"/>
    </w:p>
    <w:p w14:paraId="3D84C367">
      <w:pPr>
        <w:pStyle w:val="3"/>
        <w:numPr>
          <w:ilvl w:val="0"/>
          <w:numId w:val="0"/>
        </w:numPr>
        <w:tabs>
          <w:tab w:val="left" w:pos="297"/>
          <w:tab w:val="clear" w:pos="432"/>
        </w:tabs>
        <w:spacing w:before="240"/>
        <w:ind w:leftChars="0"/>
        <w:rPr>
          <w:rFonts w:hint="eastAsia" w:asciiTheme="majorEastAsia" w:hAnsiTheme="majorEastAsia" w:eastAsiaTheme="majorEastAsia" w:cstheme="majorEastAsia"/>
          <w:b/>
          <w:bCs/>
          <w:color w:val="auto"/>
          <w:lang w:val="en-US" w:eastAsia="zh-CN"/>
        </w:rPr>
      </w:pPr>
      <w:bookmarkStart w:id="74" w:name="_Toc8760"/>
      <w:r>
        <w:rPr>
          <w:rFonts w:hint="eastAsia" w:asciiTheme="majorEastAsia" w:hAnsiTheme="majorEastAsia" w:eastAsiaTheme="majorEastAsia" w:cstheme="majorEastAsia"/>
          <w:b/>
          <w:bCs/>
          <w:color w:val="auto"/>
          <w:lang w:val="en-US" w:eastAsia="zh-CN"/>
        </w:rPr>
        <w:t>4.泄漏</w:t>
      </w:r>
      <w:bookmarkEnd w:id="70"/>
      <w:bookmarkEnd w:id="71"/>
      <w:bookmarkEnd w:id="72"/>
      <w:bookmarkEnd w:id="73"/>
      <w:r>
        <w:rPr>
          <w:rFonts w:hint="eastAsia" w:asciiTheme="majorEastAsia" w:hAnsiTheme="majorEastAsia" w:eastAsiaTheme="majorEastAsia" w:cstheme="majorEastAsia"/>
          <w:b/>
          <w:bCs/>
          <w:color w:val="auto"/>
          <w:lang w:val="en-US" w:eastAsia="zh-CN"/>
        </w:rPr>
        <w:t>检测</w:t>
      </w:r>
      <w:bookmarkEnd w:id="74"/>
    </w:p>
    <w:p w14:paraId="1785B91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b/>
          <w:sz w:val="21"/>
          <w:szCs w:val="21"/>
          <w:lang w:bidi="en-US"/>
        </w:rPr>
        <w:t>泄漏检测：</w:t>
      </w:r>
      <w:r>
        <w:rPr>
          <w:rFonts w:hint="eastAsia" w:asciiTheme="majorEastAsia" w:hAnsiTheme="majorEastAsia" w:eastAsiaTheme="majorEastAsia" w:cstheme="majorEastAsia"/>
          <w:sz w:val="21"/>
          <w:szCs w:val="21"/>
          <w:lang w:bidi="en-US"/>
        </w:rPr>
        <w:t>泄漏检测与修复是指对工业生产全过程物料泄漏进行检测与控制的系统工程。通过固定或移动式检测仪器，定量检测或检查生产装置中阀门等易产生 VOCs 泄漏的密封点，并在一定期限内采取有效措施修复泄漏点，从而控制物料泄漏损失，减少对环境造成的污染，简称 LDAR。</w:t>
      </w:r>
    </w:p>
    <w:p w14:paraId="084257C7">
      <w:pPr>
        <w:pStyle w:val="4"/>
        <w:numPr>
          <w:ilvl w:val="1"/>
          <w:numId w:val="0"/>
        </w:numPr>
        <w:bidi w:val="0"/>
        <w:ind w:leftChars="0"/>
        <w:rPr>
          <w:rFonts w:hint="eastAsia" w:asciiTheme="majorEastAsia" w:hAnsiTheme="majorEastAsia" w:eastAsiaTheme="majorEastAsia" w:cstheme="majorEastAsia"/>
          <w:lang w:val="en-US" w:eastAsia="zh-CN"/>
        </w:rPr>
      </w:pPr>
      <w:bookmarkStart w:id="75" w:name="_Toc28174"/>
      <w:bookmarkStart w:id="76" w:name="_Toc9444"/>
      <w:bookmarkStart w:id="77" w:name="_Toc30508"/>
      <w:bookmarkStart w:id="78" w:name="_Toc16343"/>
      <w:bookmarkStart w:id="79" w:name="_Toc16907"/>
      <w:r>
        <w:rPr>
          <w:rFonts w:hint="eastAsia" w:asciiTheme="majorEastAsia" w:hAnsiTheme="majorEastAsia" w:eastAsiaTheme="majorEastAsia" w:cstheme="majorEastAsia"/>
          <w:lang w:val="en-US" w:eastAsia="zh-CN"/>
        </w:rPr>
        <w:t>4.1泄漏</w:t>
      </w:r>
      <w:r>
        <w:rPr>
          <w:rFonts w:hint="eastAsia" w:asciiTheme="majorEastAsia" w:hAnsiTheme="majorEastAsia" w:eastAsiaTheme="majorEastAsia" w:cstheme="majorEastAsia"/>
        </w:rPr>
        <w:t>密封点统计</w:t>
      </w:r>
      <w:bookmarkEnd w:id="75"/>
      <w:bookmarkEnd w:id="76"/>
      <w:bookmarkEnd w:id="77"/>
      <w:bookmarkEnd w:id="78"/>
      <w:bookmarkEnd w:id="79"/>
    </w:p>
    <w:tbl>
      <w:tblPr>
        <w:tblStyle w:val="14"/>
        <w:tblW w:w="473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1133"/>
        <w:gridCol w:w="1237"/>
        <w:gridCol w:w="1238"/>
        <w:gridCol w:w="1450"/>
        <w:gridCol w:w="2206"/>
      </w:tblGrid>
      <w:tr w14:paraId="66D438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shd w:val="clear" w:color="auto" w:fill="auto"/>
            <w:vAlign w:val="center"/>
          </w:tcPr>
          <w:p w14:paraId="0EB957CB">
            <w:pPr>
              <w:pStyle w:val="26"/>
              <w:ind w:firstLine="0" w:firstLineChars="0"/>
              <w:rPr>
                <w:rFonts w:hint="eastAsia" w:asciiTheme="majorEastAsia" w:hAnsiTheme="majorEastAsia" w:eastAsiaTheme="majorEastAsia" w:cstheme="majorEastAsia"/>
                <w:b w:val="0"/>
                <w:bCs w:val="0"/>
                <w:color w:val="262626" w:themeColor="text1" w:themeTint="D9"/>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车间</w:t>
            </w: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名称</w:t>
            </w:r>
          </w:p>
        </w:tc>
        <w:tc>
          <w:tcPr>
            <w:tcW w:w="1133" w:type="dxa"/>
            <w:tcBorders>
              <w:tl2br w:val="nil"/>
              <w:tr2bl w:val="nil"/>
            </w:tcBorders>
            <w:shd w:val="clear" w:color="auto" w:fill="auto"/>
            <w:vAlign w:val="center"/>
          </w:tcPr>
          <w:p w14:paraId="6C497A8D">
            <w:pPr>
              <w:pStyle w:val="26"/>
              <w:ind w:firstLine="0" w:firstLineChars="0"/>
              <w:rPr>
                <w:rFonts w:hint="eastAsia" w:asciiTheme="majorEastAsia" w:hAnsiTheme="majorEastAsia" w:eastAsiaTheme="majorEastAsia" w:cstheme="majorEastAsia"/>
                <w:b w:val="0"/>
                <w:bCs w:val="0"/>
                <w:color w:val="262626" w:themeColor="text1" w:themeTint="D9"/>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建档密封点数量（个）</w:t>
            </w:r>
          </w:p>
        </w:tc>
        <w:tc>
          <w:tcPr>
            <w:tcW w:w="1237" w:type="dxa"/>
            <w:tcBorders>
              <w:tl2br w:val="nil"/>
              <w:tr2bl w:val="nil"/>
            </w:tcBorders>
            <w:shd w:val="clear" w:color="auto" w:fill="auto"/>
            <w:vAlign w:val="center"/>
          </w:tcPr>
          <w:p w14:paraId="18A9E7B3">
            <w:pPr>
              <w:pStyle w:val="26"/>
              <w:ind w:firstLine="0" w:firstLineChars="0"/>
              <w:rPr>
                <w:rFonts w:hint="eastAsia" w:asciiTheme="majorEastAsia" w:hAnsiTheme="majorEastAsia" w:eastAsiaTheme="majorEastAsia" w:cstheme="majorEastAsia"/>
                <w:b w:val="0"/>
                <w:bCs w:val="0"/>
                <w:color w:val="262626" w:themeColor="text1" w:themeTint="D9"/>
                <w:sz w:val="21"/>
                <w:szCs w:val="21"/>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检测密封点数量（个）</w:t>
            </w:r>
          </w:p>
        </w:tc>
        <w:tc>
          <w:tcPr>
            <w:tcW w:w="1238" w:type="dxa"/>
            <w:tcBorders>
              <w:tl2br w:val="nil"/>
              <w:tr2bl w:val="nil"/>
            </w:tcBorders>
            <w:shd w:val="clear" w:color="auto" w:fill="auto"/>
            <w:vAlign w:val="center"/>
          </w:tcPr>
          <w:p w14:paraId="6C671C1A">
            <w:pPr>
              <w:pStyle w:val="26"/>
              <w:ind w:firstLine="0" w:firstLineChars="0"/>
              <w:rPr>
                <w:rFonts w:hint="eastAsia" w:asciiTheme="majorEastAsia" w:hAnsiTheme="majorEastAsia" w:eastAsiaTheme="majorEastAsia" w:cstheme="majorEastAsia"/>
                <w:b w:val="0"/>
                <w:bCs w:val="0"/>
                <w:color w:val="262626" w:themeColor="text1" w:themeTint="D9"/>
                <w:sz w:val="21"/>
                <w:szCs w:val="21"/>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不可达密封点数量（个）</w:t>
            </w:r>
          </w:p>
        </w:tc>
        <w:tc>
          <w:tcPr>
            <w:tcW w:w="1450" w:type="dxa"/>
            <w:tcBorders>
              <w:tl2br w:val="nil"/>
              <w:tr2bl w:val="nil"/>
            </w:tcBorders>
            <w:shd w:val="clear" w:color="auto" w:fill="auto"/>
            <w:vAlign w:val="center"/>
          </w:tcPr>
          <w:p w14:paraId="00A1875E">
            <w:pPr>
              <w:pStyle w:val="26"/>
              <w:ind w:firstLine="0" w:firstLineChars="0"/>
              <w:rPr>
                <w:rFonts w:hint="eastAsia" w:asciiTheme="majorEastAsia" w:hAnsiTheme="majorEastAsia" w:eastAsiaTheme="majorEastAsia" w:cstheme="majorEastAsia"/>
                <w:b w:val="0"/>
                <w:bCs w:val="0"/>
                <w:color w:val="262626" w:themeColor="text1" w:themeTint="D9"/>
                <w:sz w:val="21"/>
                <w:szCs w:val="21"/>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超标泄漏密封点数量（个）</w:t>
            </w:r>
          </w:p>
        </w:tc>
        <w:tc>
          <w:tcPr>
            <w:tcW w:w="2206" w:type="dxa"/>
            <w:tcBorders>
              <w:tl2br w:val="nil"/>
              <w:tr2bl w:val="nil"/>
            </w:tcBorders>
            <w:shd w:val="clear" w:color="auto" w:fill="auto"/>
            <w:vAlign w:val="center"/>
          </w:tcPr>
          <w:p w14:paraId="3FDC8985">
            <w:pPr>
              <w:pStyle w:val="26"/>
              <w:ind w:firstLine="0" w:firstLineChars="0"/>
              <w:rPr>
                <w:rFonts w:hint="eastAsia" w:asciiTheme="majorEastAsia" w:hAnsiTheme="majorEastAsia" w:eastAsiaTheme="majorEastAsia" w:cstheme="majorEastAsia"/>
                <w:b w:val="0"/>
                <w:bCs w:val="0"/>
                <w:color w:val="262626" w:themeColor="text1" w:themeTint="D9"/>
                <w:sz w:val="21"/>
                <w:szCs w:val="21"/>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待检测密封点数量（个）</w:t>
            </w:r>
          </w:p>
        </w:tc>
      </w:tr>
      <w:tr w14:paraId="5F26C5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vAlign w:val="center"/>
          </w:tcPr>
          <w:p w14:paraId="2A817D06">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bookmarkStart w:id="80" w:name="_Toc17053"/>
            <w:bookmarkStart w:id="81" w:name="_Toc13495"/>
            <w:bookmarkStart w:id="82" w:name="_Toc4572"/>
            <w:bookmarkStart w:id="83" w:name="_Toc27149"/>
            <w:r>
              <w:rPr>
                <w:rFonts w:hint="eastAsia" w:asciiTheme="majorEastAsia" w:hAnsiTheme="majorEastAsia" w:eastAsiaTheme="majorEastAsia" w:cstheme="majorEastAsia"/>
                <w:sz w:val="21"/>
                <w:szCs w:val="21"/>
                <w:lang w:val="en-US" w:eastAsia="zh-CN"/>
              </w:rPr>
              <w:t>ODA一装置</w:t>
            </w:r>
          </w:p>
        </w:tc>
        <w:tc>
          <w:tcPr>
            <w:tcW w:w="1133" w:type="dxa"/>
            <w:tcBorders>
              <w:tl2br w:val="nil"/>
              <w:tr2bl w:val="nil"/>
            </w:tcBorders>
            <w:vAlign w:val="center"/>
          </w:tcPr>
          <w:p w14:paraId="6943E4A9">
            <w:pPr>
              <w:pStyle w:val="26"/>
              <w:ind w:firstLine="0" w:firstLineChars="0"/>
              <w:rPr>
                <w:rFonts w:hint="eastAsia" w:asciiTheme="majorEastAsia" w:hAnsiTheme="majorEastAsia" w:eastAsiaTheme="majorEastAsia" w:cstheme="majorEastAsia"/>
                <w:bCs/>
                <w:sz w:val="21"/>
                <w:szCs w:val="21"/>
                <w:highlight w:val="none"/>
                <w:lang w:val="en-US" w:eastAsia="zh-CN" w:bidi="ar-SA"/>
              </w:rPr>
            </w:pPr>
            <w:r>
              <w:rPr>
                <w:rFonts w:hint="eastAsia" w:asciiTheme="minorEastAsia" w:hAnsiTheme="minorEastAsia" w:eastAsiaTheme="minorEastAsia" w:cstheme="minorEastAsia"/>
                <w:bCs/>
                <w:sz w:val="21"/>
                <w:szCs w:val="21"/>
                <w:lang w:val="en-US" w:eastAsia="zh-CN"/>
              </w:rPr>
              <w:t>373</w:t>
            </w:r>
          </w:p>
        </w:tc>
        <w:tc>
          <w:tcPr>
            <w:tcW w:w="1237" w:type="dxa"/>
            <w:tcBorders>
              <w:tl2br w:val="nil"/>
              <w:tr2bl w:val="nil"/>
            </w:tcBorders>
            <w:vAlign w:val="center"/>
          </w:tcPr>
          <w:p w14:paraId="5E5E88E8">
            <w:pPr>
              <w:pStyle w:val="26"/>
              <w:ind w:firstLine="0" w:firstLineChars="0"/>
              <w:rPr>
                <w:rFonts w:hint="eastAsia" w:asciiTheme="majorEastAsia" w:hAnsiTheme="majorEastAsia" w:eastAsiaTheme="majorEastAsia" w:cstheme="majorEastAsia"/>
                <w:bCs/>
                <w:sz w:val="21"/>
                <w:szCs w:val="21"/>
                <w:highlight w:val="none"/>
                <w:lang w:val="en-US" w:eastAsia="zh-CN" w:bidi="ar-SA"/>
              </w:rPr>
            </w:pPr>
            <w:r>
              <w:rPr>
                <w:rFonts w:hint="eastAsia" w:asciiTheme="minorEastAsia" w:hAnsiTheme="minorEastAsia" w:eastAsiaTheme="minorEastAsia" w:cstheme="minorEastAsia"/>
                <w:bCs/>
                <w:sz w:val="21"/>
                <w:szCs w:val="21"/>
                <w:lang w:val="en-US" w:eastAsia="zh-CN"/>
              </w:rPr>
              <w:t>373</w:t>
            </w:r>
          </w:p>
        </w:tc>
        <w:tc>
          <w:tcPr>
            <w:tcW w:w="1238" w:type="dxa"/>
            <w:tcBorders>
              <w:tl2br w:val="nil"/>
              <w:tr2bl w:val="nil"/>
            </w:tcBorders>
            <w:vAlign w:val="center"/>
          </w:tcPr>
          <w:p w14:paraId="252AD9A4">
            <w:pPr>
              <w:ind w:firstLine="0" w:firstLineChars="0"/>
              <w:jc w:val="center"/>
              <w:rPr>
                <w:rFonts w:hint="eastAsia" w:asciiTheme="majorEastAsia" w:hAnsiTheme="majorEastAsia" w:eastAsiaTheme="majorEastAsia" w:cstheme="majorEastAsia"/>
                <w:bCs/>
                <w:sz w:val="21"/>
                <w:szCs w:val="21"/>
                <w:highlight w:val="none"/>
                <w:lang w:val="en-US" w:eastAsia="zh-CN" w:bidi="ar-SA"/>
              </w:rPr>
            </w:pPr>
            <w:r>
              <w:rPr>
                <w:rFonts w:hint="eastAsia" w:asciiTheme="minorEastAsia" w:hAnsiTheme="minorEastAsia" w:eastAsiaTheme="minorEastAsia" w:cstheme="minorEastAsia"/>
                <w:bCs/>
                <w:sz w:val="21"/>
                <w:szCs w:val="21"/>
                <w:lang w:val="en-US" w:eastAsia="zh-CN"/>
              </w:rPr>
              <w:t>0</w:t>
            </w:r>
          </w:p>
        </w:tc>
        <w:tc>
          <w:tcPr>
            <w:tcW w:w="1450" w:type="dxa"/>
            <w:tcBorders>
              <w:tl2br w:val="nil"/>
              <w:tr2bl w:val="nil"/>
            </w:tcBorders>
            <w:vAlign w:val="center"/>
          </w:tcPr>
          <w:p w14:paraId="63F5BE89">
            <w:pPr>
              <w:ind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Cs/>
                <w:sz w:val="21"/>
                <w:szCs w:val="21"/>
                <w:lang w:val="en-US" w:eastAsia="zh-CN"/>
              </w:rPr>
              <w:t>0</w:t>
            </w:r>
          </w:p>
        </w:tc>
        <w:tc>
          <w:tcPr>
            <w:tcW w:w="2206" w:type="dxa"/>
            <w:tcBorders>
              <w:tl2br w:val="nil"/>
              <w:tr2bl w:val="nil"/>
            </w:tcBorders>
            <w:vAlign w:val="center"/>
          </w:tcPr>
          <w:p w14:paraId="6B626B5A">
            <w:pPr>
              <w:ind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ajorEastAsia" w:hAnsiTheme="majorEastAsia" w:eastAsiaTheme="majorEastAsia" w:cstheme="majorEastAsia"/>
                <w:bCs/>
                <w:color w:val="auto"/>
                <w:sz w:val="21"/>
                <w:szCs w:val="21"/>
                <w:lang w:val="en-US" w:eastAsia="zh-CN"/>
              </w:rPr>
              <w:t>0</w:t>
            </w:r>
          </w:p>
        </w:tc>
      </w:tr>
      <w:tr w14:paraId="542D72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vAlign w:val="center"/>
          </w:tcPr>
          <w:p w14:paraId="07B84392">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ajorEastAsia" w:hAnsiTheme="majorEastAsia" w:eastAsiaTheme="majorEastAsia" w:cstheme="majorEastAsia"/>
                <w:sz w:val="21"/>
                <w:szCs w:val="21"/>
                <w:lang w:val="en-US" w:eastAsia="zh-CN"/>
              </w:rPr>
              <w:t>ODA二装置</w:t>
            </w:r>
          </w:p>
        </w:tc>
        <w:tc>
          <w:tcPr>
            <w:tcW w:w="1133" w:type="dxa"/>
            <w:tcBorders>
              <w:tl2br w:val="nil"/>
              <w:tr2bl w:val="nil"/>
            </w:tcBorders>
            <w:vAlign w:val="center"/>
          </w:tcPr>
          <w:p w14:paraId="16424594">
            <w:pPr>
              <w:pStyle w:val="26"/>
              <w:ind w:firstLine="0" w:firstLineChars="0"/>
              <w:rPr>
                <w:rFonts w:hint="eastAsia" w:asciiTheme="majorEastAsia" w:hAnsiTheme="majorEastAsia" w:eastAsiaTheme="majorEastAsia" w:cstheme="majorEastAsia"/>
                <w:bCs/>
                <w:color w:val="auto"/>
                <w:sz w:val="21"/>
                <w:szCs w:val="21"/>
                <w:highlight w:val="none"/>
                <w:lang w:val="en-US" w:eastAsia="zh-CN" w:bidi="ar-SA"/>
              </w:rPr>
            </w:pPr>
            <w:r>
              <w:rPr>
                <w:rFonts w:hint="eastAsia" w:asciiTheme="minorEastAsia" w:hAnsiTheme="minorEastAsia" w:eastAsiaTheme="minorEastAsia" w:cstheme="minorEastAsia"/>
                <w:bCs/>
                <w:color w:val="auto"/>
                <w:sz w:val="21"/>
                <w:szCs w:val="21"/>
                <w:lang w:val="en-US" w:eastAsia="zh-CN"/>
              </w:rPr>
              <w:t>851</w:t>
            </w:r>
          </w:p>
        </w:tc>
        <w:tc>
          <w:tcPr>
            <w:tcW w:w="1237" w:type="dxa"/>
            <w:tcBorders>
              <w:tl2br w:val="nil"/>
              <w:tr2bl w:val="nil"/>
            </w:tcBorders>
            <w:vAlign w:val="center"/>
          </w:tcPr>
          <w:p w14:paraId="31C8FEA1">
            <w:pPr>
              <w:pStyle w:val="26"/>
              <w:ind w:firstLine="0" w:firstLineChars="0"/>
              <w:rPr>
                <w:rFonts w:hint="eastAsia" w:asciiTheme="majorEastAsia" w:hAnsiTheme="majorEastAsia" w:eastAsiaTheme="majorEastAsia" w:cstheme="majorEastAsia"/>
                <w:bCs/>
                <w:color w:val="auto"/>
                <w:sz w:val="21"/>
                <w:szCs w:val="21"/>
                <w:highlight w:val="none"/>
                <w:lang w:val="en-US" w:eastAsia="zh-CN" w:bidi="ar-SA"/>
              </w:rPr>
            </w:pPr>
            <w:r>
              <w:rPr>
                <w:rFonts w:hint="eastAsia" w:asciiTheme="minorEastAsia" w:hAnsiTheme="minorEastAsia" w:eastAsiaTheme="minorEastAsia" w:cstheme="minorEastAsia"/>
                <w:bCs/>
                <w:color w:val="auto"/>
                <w:sz w:val="21"/>
                <w:szCs w:val="21"/>
                <w:lang w:val="en-US" w:eastAsia="zh-CN"/>
              </w:rPr>
              <w:t>820</w:t>
            </w:r>
          </w:p>
        </w:tc>
        <w:tc>
          <w:tcPr>
            <w:tcW w:w="1238" w:type="dxa"/>
            <w:tcBorders>
              <w:tl2br w:val="nil"/>
              <w:tr2bl w:val="nil"/>
            </w:tcBorders>
            <w:vAlign w:val="center"/>
          </w:tcPr>
          <w:p w14:paraId="4546390E">
            <w:pPr>
              <w:ind w:firstLine="0" w:firstLineChars="0"/>
              <w:jc w:val="center"/>
              <w:rPr>
                <w:rFonts w:hint="eastAsia" w:asciiTheme="majorEastAsia" w:hAnsiTheme="majorEastAsia" w:eastAsiaTheme="majorEastAsia" w:cstheme="majorEastAsia"/>
                <w:bCs/>
                <w:color w:val="auto"/>
                <w:sz w:val="21"/>
                <w:szCs w:val="21"/>
                <w:highlight w:val="none"/>
                <w:lang w:val="en-US" w:eastAsia="zh-CN" w:bidi="ar-SA"/>
              </w:rPr>
            </w:pPr>
            <w:r>
              <w:rPr>
                <w:rFonts w:hint="eastAsia" w:asciiTheme="minorEastAsia" w:hAnsiTheme="minorEastAsia" w:eastAsiaTheme="minorEastAsia" w:cstheme="minorEastAsia"/>
                <w:bCs/>
                <w:color w:val="auto"/>
                <w:sz w:val="21"/>
                <w:szCs w:val="21"/>
                <w:lang w:val="en-US" w:eastAsia="zh-CN"/>
              </w:rPr>
              <w:t>31</w:t>
            </w:r>
          </w:p>
        </w:tc>
        <w:tc>
          <w:tcPr>
            <w:tcW w:w="1450" w:type="dxa"/>
            <w:tcBorders>
              <w:tl2br w:val="nil"/>
              <w:tr2bl w:val="nil"/>
            </w:tcBorders>
            <w:vAlign w:val="center"/>
          </w:tcPr>
          <w:p w14:paraId="6644D423">
            <w:pPr>
              <w:tabs>
                <w:tab w:val="center" w:pos="384"/>
                <w:tab w:val="left" w:pos="502"/>
              </w:tabs>
              <w:ind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Cs/>
                <w:color w:val="auto"/>
                <w:sz w:val="21"/>
                <w:szCs w:val="21"/>
                <w:lang w:val="en-US" w:eastAsia="zh-CN"/>
              </w:rPr>
              <w:t>1</w:t>
            </w:r>
          </w:p>
        </w:tc>
        <w:tc>
          <w:tcPr>
            <w:tcW w:w="2206" w:type="dxa"/>
            <w:tcBorders>
              <w:tl2br w:val="nil"/>
              <w:tr2bl w:val="nil"/>
            </w:tcBorders>
            <w:vAlign w:val="center"/>
          </w:tcPr>
          <w:p w14:paraId="7750CBC6">
            <w:pPr>
              <w:ind w:firstLine="0" w:firstLineChars="0"/>
              <w:jc w:val="center"/>
              <w:rPr>
                <w:rFonts w:hint="eastAsia" w:asciiTheme="majorEastAsia" w:hAnsiTheme="majorEastAsia" w:eastAsiaTheme="majorEastAsia" w:cstheme="majorEastAsia"/>
                <w:bCs/>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Theme="majorEastAsia" w:hAnsiTheme="majorEastAsia" w:eastAsiaTheme="majorEastAsia" w:cstheme="majorEastAsia"/>
                <w:bCs/>
                <w:color w:val="auto"/>
                <w:sz w:val="21"/>
                <w:szCs w:val="21"/>
                <w:lang w:val="en-US" w:eastAsia="zh-CN"/>
              </w:rPr>
              <w:t>0</w:t>
            </w:r>
          </w:p>
        </w:tc>
      </w:tr>
      <w:tr w14:paraId="0C9C2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vAlign w:val="center"/>
          </w:tcPr>
          <w:p w14:paraId="033797C9">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储运装置</w:t>
            </w:r>
          </w:p>
        </w:tc>
        <w:tc>
          <w:tcPr>
            <w:tcW w:w="1133" w:type="dxa"/>
            <w:tcBorders>
              <w:tl2br w:val="nil"/>
              <w:tr2bl w:val="nil"/>
            </w:tcBorders>
            <w:vAlign w:val="center"/>
          </w:tcPr>
          <w:p w14:paraId="7F4ACFCB">
            <w:pPr>
              <w:pStyle w:val="26"/>
              <w:ind w:firstLine="0" w:firstLineChars="0"/>
              <w:rPr>
                <w:rFonts w:hint="eastAsia" w:asciiTheme="majorEastAsia" w:hAnsiTheme="majorEastAsia" w:eastAsiaTheme="majorEastAsia" w:cstheme="majorEastAsia"/>
                <w:bCs/>
                <w:sz w:val="21"/>
                <w:szCs w:val="21"/>
                <w:lang w:val="en-US" w:eastAsia="zh-CN"/>
              </w:rPr>
            </w:pPr>
            <w:r>
              <w:rPr>
                <w:rFonts w:hint="eastAsia" w:asciiTheme="minorEastAsia" w:hAnsiTheme="minorEastAsia" w:eastAsiaTheme="minorEastAsia" w:cstheme="minorEastAsia"/>
                <w:bCs/>
                <w:color w:val="auto"/>
                <w:sz w:val="21"/>
                <w:szCs w:val="21"/>
                <w:lang w:val="en-US" w:eastAsia="zh-CN"/>
              </w:rPr>
              <w:t>394</w:t>
            </w:r>
          </w:p>
        </w:tc>
        <w:tc>
          <w:tcPr>
            <w:tcW w:w="1237" w:type="dxa"/>
            <w:tcBorders>
              <w:tl2br w:val="nil"/>
              <w:tr2bl w:val="nil"/>
            </w:tcBorders>
            <w:vAlign w:val="center"/>
          </w:tcPr>
          <w:p w14:paraId="411C6873">
            <w:pPr>
              <w:pStyle w:val="26"/>
              <w:ind w:firstLine="0" w:firstLineChars="0"/>
              <w:rPr>
                <w:rFonts w:hint="eastAsia" w:asciiTheme="majorEastAsia" w:hAnsiTheme="majorEastAsia" w:eastAsiaTheme="majorEastAsia" w:cstheme="majorEastAsia"/>
                <w:bCs/>
                <w:sz w:val="21"/>
                <w:szCs w:val="21"/>
                <w:lang w:val="en-US" w:eastAsia="zh-CN"/>
              </w:rPr>
            </w:pPr>
            <w:r>
              <w:rPr>
                <w:rFonts w:hint="eastAsia" w:asciiTheme="minorEastAsia" w:hAnsiTheme="minorEastAsia" w:eastAsiaTheme="minorEastAsia" w:cstheme="minorEastAsia"/>
                <w:bCs/>
                <w:color w:val="auto"/>
                <w:sz w:val="21"/>
                <w:szCs w:val="21"/>
                <w:lang w:val="en-US" w:eastAsia="zh-CN"/>
              </w:rPr>
              <w:t>357</w:t>
            </w:r>
          </w:p>
        </w:tc>
        <w:tc>
          <w:tcPr>
            <w:tcW w:w="1238" w:type="dxa"/>
            <w:tcBorders>
              <w:tl2br w:val="nil"/>
              <w:tr2bl w:val="nil"/>
            </w:tcBorders>
            <w:vAlign w:val="center"/>
          </w:tcPr>
          <w:p w14:paraId="0381A4A0">
            <w:pPr>
              <w:ind w:firstLine="0" w:firstLineChars="0"/>
              <w:jc w:val="center"/>
              <w:rPr>
                <w:rFonts w:hint="eastAsia" w:asciiTheme="majorEastAsia" w:hAnsiTheme="majorEastAsia" w:eastAsiaTheme="majorEastAsia" w:cstheme="majorEastAsia"/>
                <w:bCs/>
                <w:sz w:val="21"/>
                <w:szCs w:val="21"/>
                <w:lang w:val="en-US" w:eastAsia="zh-CN"/>
              </w:rPr>
            </w:pPr>
            <w:r>
              <w:rPr>
                <w:rFonts w:hint="eastAsia" w:asciiTheme="minorEastAsia" w:hAnsiTheme="minorEastAsia" w:eastAsiaTheme="minorEastAsia" w:cstheme="minorEastAsia"/>
                <w:bCs/>
                <w:color w:val="auto"/>
                <w:sz w:val="21"/>
                <w:szCs w:val="21"/>
                <w:lang w:val="en-US" w:eastAsia="zh-CN"/>
              </w:rPr>
              <w:t>37</w:t>
            </w:r>
          </w:p>
        </w:tc>
        <w:tc>
          <w:tcPr>
            <w:tcW w:w="1450" w:type="dxa"/>
            <w:tcBorders>
              <w:tl2br w:val="nil"/>
              <w:tr2bl w:val="nil"/>
            </w:tcBorders>
            <w:vAlign w:val="center"/>
          </w:tcPr>
          <w:p w14:paraId="0B0BDB95">
            <w:pPr>
              <w:tabs>
                <w:tab w:val="center" w:pos="384"/>
                <w:tab w:val="left" w:pos="502"/>
              </w:tabs>
              <w:ind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Cs/>
                <w:color w:val="auto"/>
                <w:sz w:val="21"/>
                <w:szCs w:val="21"/>
                <w:lang w:val="en-US" w:eastAsia="zh-CN"/>
              </w:rPr>
              <w:t>1</w:t>
            </w:r>
          </w:p>
        </w:tc>
        <w:tc>
          <w:tcPr>
            <w:tcW w:w="2206" w:type="dxa"/>
            <w:tcBorders>
              <w:tl2br w:val="nil"/>
              <w:tr2bl w:val="nil"/>
            </w:tcBorders>
            <w:vAlign w:val="center"/>
          </w:tcPr>
          <w:p w14:paraId="21E5D7D0">
            <w:pPr>
              <w:ind w:firstLine="0" w:firstLineChars="0"/>
              <w:jc w:val="center"/>
              <w:rPr>
                <w:rFonts w:hint="eastAsia" w:asciiTheme="majorEastAsia" w:hAnsiTheme="majorEastAsia" w:eastAsiaTheme="majorEastAsia" w:cstheme="majorEastAsia"/>
                <w:bCs/>
                <w:color w:val="auto"/>
                <w:sz w:val="21"/>
                <w:szCs w:val="21"/>
                <w:lang w:val="en-US" w:eastAsia="zh-CN"/>
              </w:rPr>
            </w:pPr>
            <w:r>
              <w:rPr>
                <w:rFonts w:hint="eastAsia" w:asciiTheme="majorEastAsia" w:hAnsiTheme="majorEastAsia" w:eastAsiaTheme="majorEastAsia" w:cstheme="majorEastAsia"/>
                <w:bCs/>
                <w:color w:val="auto"/>
                <w:sz w:val="21"/>
                <w:szCs w:val="21"/>
                <w:lang w:val="en-US" w:eastAsia="zh-CN"/>
              </w:rPr>
              <w:t>0</w:t>
            </w:r>
          </w:p>
        </w:tc>
      </w:tr>
      <w:tr w14:paraId="7753AE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vAlign w:val="center"/>
          </w:tcPr>
          <w:p w14:paraId="665ADB48">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新材料一装置</w:t>
            </w:r>
          </w:p>
        </w:tc>
        <w:tc>
          <w:tcPr>
            <w:tcW w:w="1133" w:type="dxa"/>
            <w:tcBorders>
              <w:tl2br w:val="nil"/>
              <w:tr2bl w:val="nil"/>
            </w:tcBorders>
            <w:vAlign w:val="center"/>
          </w:tcPr>
          <w:p w14:paraId="48986DB3">
            <w:pPr>
              <w:pStyle w:val="26"/>
              <w:ind w:firstLine="0" w:firstLineChars="0"/>
              <w:rPr>
                <w:rFonts w:hint="eastAsia" w:asciiTheme="majorEastAsia" w:hAnsiTheme="majorEastAsia" w:eastAsiaTheme="majorEastAsia" w:cstheme="majorEastAsia"/>
                <w:bCs/>
                <w:sz w:val="21"/>
                <w:szCs w:val="21"/>
                <w:lang w:val="en-US" w:eastAsia="zh-CN"/>
              </w:rPr>
            </w:pPr>
            <w:r>
              <w:rPr>
                <w:rFonts w:hint="eastAsia" w:asciiTheme="minorEastAsia" w:hAnsiTheme="minorEastAsia" w:eastAsiaTheme="minorEastAsia" w:cstheme="minorEastAsia"/>
                <w:bCs/>
                <w:color w:val="auto"/>
                <w:sz w:val="21"/>
                <w:szCs w:val="21"/>
                <w:lang w:val="en-US" w:eastAsia="zh-CN"/>
              </w:rPr>
              <w:t>1819</w:t>
            </w:r>
          </w:p>
        </w:tc>
        <w:tc>
          <w:tcPr>
            <w:tcW w:w="1237" w:type="dxa"/>
            <w:tcBorders>
              <w:tl2br w:val="nil"/>
              <w:tr2bl w:val="nil"/>
            </w:tcBorders>
            <w:vAlign w:val="center"/>
          </w:tcPr>
          <w:p w14:paraId="7CA69477">
            <w:pPr>
              <w:pStyle w:val="26"/>
              <w:ind w:firstLine="0" w:firstLineChars="0"/>
              <w:rPr>
                <w:rFonts w:hint="eastAsia" w:asciiTheme="majorEastAsia" w:hAnsiTheme="majorEastAsia" w:eastAsiaTheme="majorEastAsia" w:cstheme="majorEastAsia"/>
                <w:bCs/>
                <w:sz w:val="21"/>
                <w:szCs w:val="21"/>
                <w:lang w:val="en-US" w:eastAsia="zh-CN"/>
              </w:rPr>
            </w:pPr>
            <w:r>
              <w:rPr>
                <w:rFonts w:hint="eastAsia" w:asciiTheme="minorEastAsia" w:hAnsiTheme="minorEastAsia" w:eastAsiaTheme="minorEastAsia" w:cstheme="minorEastAsia"/>
                <w:bCs/>
                <w:color w:val="auto"/>
                <w:sz w:val="21"/>
                <w:szCs w:val="21"/>
                <w:lang w:val="en-US" w:eastAsia="zh-CN"/>
              </w:rPr>
              <w:t>1682</w:t>
            </w:r>
          </w:p>
        </w:tc>
        <w:tc>
          <w:tcPr>
            <w:tcW w:w="1238" w:type="dxa"/>
            <w:tcBorders>
              <w:tl2br w:val="nil"/>
              <w:tr2bl w:val="nil"/>
            </w:tcBorders>
            <w:vAlign w:val="center"/>
          </w:tcPr>
          <w:p w14:paraId="68EE7DE2">
            <w:pPr>
              <w:ind w:firstLine="0" w:firstLineChars="0"/>
              <w:jc w:val="center"/>
              <w:rPr>
                <w:rFonts w:hint="eastAsia" w:asciiTheme="majorEastAsia" w:hAnsiTheme="majorEastAsia" w:eastAsiaTheme="majorEastAsia" w:cstheme="majorEastAsia"/>
                <w:bCs/>
                <w:sz w:val="21"/>
                <w:szCs w:val="21"/>
                <w:lang w:val="en-US" w:eastAsia="zh-CN"/>
              </w:rPr>
            </w:pPr>
            <w:r>
              <w:rPr>
                <w:rFonts w:hint="eastAsia" w:asciiTheme="minorEastAsia" w:hAnsiTheme="minorEastAsia" w:eastAsiaTheme="minorEastAsia" w:cstheme="minorEastAsia"/>
                <w:bCs/>
                <w:color w:val="auto"/>
                <w:sz w:val="21"/>
                <w:szCs w:val="21"/>
                <w:lang w:val="en-US" w:eastAsia="zh-CN"/>
              </w:rPr>
              <w:t>137</w:t>
            </w:r>
          </w:p>
        </w:tc>
        <w:tc>
          <w:tcPr>
            <w:tcW w:w="1450" w:type="dxa"/>
            <w:tcBorders>
              <w:tl2br w:val="nil"/>
              <w:tr2bl w:val="nil"/>
            </w:tcBorders>
            <w:vAlign w:val="center"/>
          </w:tcPr>
          <w:p w14:paraId="06F4418E">
            <w:pPr>
              <w:tabs>
                <w:tab w:val="center" w:pos="384"/>
                <w:tab w:val="left" w:pos="502"/>
              </w:tabs>
              <w:ind w:firstLine="0" w:firstLineChars="0"/>
              <w:jc w:val="center"/>
              <w:rPr>
                <w:rFonts w:hint="default"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Cs/>
                <w:color w:val="auto"/>
                <w:sz w:val="21"/>
                <w:szCs w:val="21"/>
                <w:lang w:val="en-US" w:eastAsia="zh-CN"/>
              </w:rPr>
              <w:t>1</w:t>
            </w:r>
          </w:p>
        </w:tc>
        <w:tc>
          <w:tcPr>
            <w:tcW w:w="2206" w:type="dxa"/>
            <w:tcBorders>
              <w:tl2br w:val="nil"/>
              <w:tr2bl w:val="nil"/>
            </w:tcBorders>
            <w:vAlign w:val="center"/>
          </w:tcPr>
          <w:p w14:paraId="544E833F">
            <w:pPr>
              <w:ind w:firstLine="0" w:firstLineChars="0"/>
              <w:jc w:val="center"/>
              <w:rPr>
                <w:rFonts w:hint="default" w:asciiTheme="majorEastAsia" w:hAnsiTheme="majorEastAsia" w:eastAsiaTheme="majorEastAsia" w:cstheme="majorEastAsia"/>
                <w:bCs/>
                <w:color w:val="auto"/>
                <w:sz w:val="21"/>
                <w:szCs w:val="21"/>
                <w:lang w:val="en-US" w:eastAsia="zh-CN"/>
              </w:rPr>
            </w:pPr>
            <w:r>
              <w:rPr>
                <w:rFonts w:hint="eastAsia" w:asciiTheme="majorEastAsia" w:hAnsiTheme="majorEastAsia" w:eastAsiaTheme="majorEastAsia" w:cstheme="majorEastAsia"/>
                <w:bCs/>
                <w:color w:val="auto"/>
                <w:sz w:val="21"/>
                <w:szCs w:val="21"/>
                <w:lang w:val="en-US" w:eastAsia="zh-CN"/>
              </w:rPr>
              <w:t>0</w:t>
            </w:r>
          </w:p>
        </w:tc>
      </w:tr>
      <w:tr w14:paraId="566D97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vAlign w:val="center"/>
          </w:tcPr>
          <w:p w14:paraId="10BE2396">
            <w:pPr>
              <w:pStyle w:val="26"/>
              <w:ind w:firstLine="0" w:firstLineChars="0"/>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ajorEastAsia" w:hAnsiTheme="majorEastAsia" w:eastAsiaTheme="majorEastAsia" w:cstheme="majorEastAsia"/>
                <w:color w:val="auto"/>
                <w:lang w:val="en-US" w:eastAsia="zh-CN"/>
              </w:rPr>
              <w:t>合计</w:t>
            </w:r>
          </w:p>
        </w:tc>
        <w:tc>
          <w:tcPr>
            <w:tcW w:w="1133" w:type="dxa"/>
            <w:tcBorders>
              <w:tl2br w:val="nil"/>
              <w:tr2bl w:val="nil"/>
            </w:tcBorders>
            <w:vAlign w:val="center"/>
          </w:tcPr>
          <w:p w14:paraId="6185CD57">
            <w:pPr>
              <w:pStyle w:val="26"/>
              <w:ind w:firstLine="0" w:firstLineChars="0"/>
              <w:jc w:val="center"/>
              <w:rPr>
                <w:rFonts w:hint="eastAsia" w:asciiTheme="majorEastAsia" w:hAnsiTheme="majorEastAsia" w:eastAsiaTheme="majorEastAsia" w:cstheme="majorEastAsia"/>
                <w:color w:val="262626" w:themeColor="text1" w:themeTint="D9"/>
                <w:sz w:val="21"/>
                <w:szCs w:val="22"/>
                <w:highlight w:val="none"/>
                <w:lang w:val="en-US" w:eastAsia="zh-CN" w:bidi="ar-SA"/>
                <w14:textFill>
                  <w14:solidFill>
                    <w14:schemeClr w14:val="tx1">
                      <w14:lumMod w14:val="85000"/>
                      <w14:lumOff w14:val="15000"/>
                    </w14:schemeClr>
                  </w14:solidFill>
                </w14:textFill>
              </w:rPr>
            </w:pPr>
            <w:r>
              <w:rPr>
                <w:rFonts w:hint="eastAsia" w:asciiTheme="minorEastAsia" w:hAnsiTheme="minorEastAsia" w:eastAsiaTheme="minorEastAsia" w:cstheme="minorEastAsia"/>
                <w:bCs/>
                <w:sz w:val="21"/>
                <w:szCs w:val="21"/>
                <w:lang w:val="en-US" w:eastAsia="zh-CN"/>
              </w:rPr>
              <w:t>3437</w:t>
            </w:r>
          </w:p>
        </w:tc>
        <w:tc>
          <w:tcPr>
            <w:tcW w:w="1237" w:type="dxa"/>
            <w:tcBorders>
              <w:tl2br w:val="nil"/>
              <w:tr2bl w:val="nil"/>
            </w:tcBorders>
            <w:vAlign w:val="center"/>
          </w:tcPr>
          <w:p w14:paraId="6C509A34">
            <w:pPr>
              <w:pStyle w:val="26"/>
              <w:ind w:firstLine="0" w:firstLineChars="0"/>
              <w:jc w:val="center"/>
              <w:rPr>
                <w:rFonts w:hint="eastAsia" w:asciiTheme="majorEastAsia" w:hAnsiTheme="majorEastAsia" w:eastAsiaTheme="majorEastAsia" w:cstheme="majorEastAsia"/>
                <w:color w:val="262626" w:themeColor="text1" w:themeTint="D9"/>
                <w:sz w:val="21"/>
                <w:szCs w:val="22"/>
                <w:highlight w:val="none"/>
                <w:lang w:val="en-US" w:eastAsia="zh-CN" w:bidi="ar-SA"/>
                <w14:textFill>
                  <w14:solidFill>
                    <w14:schemeClr w14:val="tx1">
                      <w14:lumMod w14:val="85000"/>
                      <w14:lumOff w14:val="15000"/>
                    </w14:schemeClr>
                  </w14:solidFill>
                </w14:textFill>
              </w:rPr>
            </w:pPr>
            <w:r>
              <w:rPr>
                <w:rFonts w:hint="eastAsia" w:asciiTheme="minorEastAsia" w:hAnsiTheme="minorEastAsia" w:eastAsiaTheme="minorEastAsia" w:cstheme="minorEastAsia"/>
                <w:bCs/>
                <w:sz w:val="21"/>
                <w:szCs w:val="21"/>
                <w:lang w:val="en-US" w:eastAsia="zh-CN"/>
              </w:rPr>
              <w:t>3232</w:t>
            </w:r>
          </w:p>
        </w:tc>
        <w:tc>
          <w:tcPr>
            <w:tcW w:w="1238" w:type="dxa"/>
            <w:tcBorders>
              <w:tl2br w:val="nil"/>
              <w:tr2bl w:val="nil"/>
            </w:tcBorders>
            <w:vAlign w:val="center"/>
          </w:tcPr>
          <w:p w14:paraId="0A83267B">
            <w:pPr>
              <w:ind w:firstLine="0" w:firstLineChars="0"/>
              <w:jc w:val="center"/>
              <w:rPr>
                <w:rFonts w:hint="default"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Cs/>
                <w:sz w:val="21"/>
                <w:szCs w:val="21"/>
                <w:lang w:val="en-US" w:eastAsia="zh-CN"/>
              </w:rPr>
              <w:t>205</w:t>
            </w:r>
          </w:p>
        </w:tc>
        <w:tc>
          <w:tcPr>
            <w:tcW w:w="1450" w:type="dxa"/>
            <w:tcBorders>
              <w:tl2br w:val="nil"/>
              <w:tr2bl w:val="nil"/>
            </w:tcBorders>
            <w:vAlign w:val="center"/>
          </w:tcPr>
          <w:p w14:paraId="3FF62ACF">
            <w:pPr>
              <w:ind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Cs/>
                <w:sz w:val="21"/>
                <w:szCs w:val="21"/>
                <w:lang w:val="en-US" w:eastAsia="zh-CN"/>
              </w:rPr>
              <w:t>3</w:t>
            </w:r>
          </w:p>
        </w:tc>
        <w:tc>
          <w:tcPr>
            <w:tcW w:w="2206" w:type="dxa"/>
            <w:tcBorders>
              <w:tl2br w:val="nil"/>
              <w:tr2bl w:val="nil"/>
            </w:tcBorders>
            <w:vAlign w:val="center"/>
          </w:tcPr>
          <w:p w14:paraId="2E4B4CD0">
            <w:pPr>
              <w:ind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ajorEastAsia" w:hAnsiTheme="majorEastAsia" w:eastAsiaTheme="majorEastAsia" w:cstheme="majorEastAsia"/>
                <w:bCs/>
                <w:color w:val="auto"/>
                <w:sz w:val="21"/>
                <w:szCs w:val="21"/>
                <w:lang w:val="en-US" w:eastAsia="zh-CN"/>
              </w:rPr>
              <w:t>0</w:t>
            </w:r>
          </w:p>
        </w:tc>
      </w:tr>
    </w:tbl>
    <w:p w14:paraId="593F5136">
      <w:pPr>
        <w:pStyle w:val="4"/>
        <w:numPr>
          <w:ilvl w:val="1"/>
          <w:numId w:val="0"/>
        </w:numPr>
        <w:bidi w:val="0"/>
        <w:ind w:leftChars="0"/>
        <w:rPr>
          <w:rFonts w:hint="eastAsia" w:asciiTheme="majorEastAsia" w:hAnsiTheme="majorEastAsia" w:eastAsiaTheme="majorEastAsia" w:cstheme="majorEastAsia"/>
          <w:lang w:val="en-US" w:eastAsia="zh-CN"/>
        </w:rPr>
      </w:pPr>
    </w:p>
    <w:p w14:paraId="2B3EF8D1">
      <w:pPr>
        <w:pStyle w:val="4"/>
        <w:numPr>
          <w:ilvl w:val="1"/>
          <w:numId w:val="0"/>
        </w:numPr>
        <w:bidi w:val="0"/>
        <w:ind w:leftChars="0"/>
        <w:rPr>
          <w:rFonts w:hint="eastAsia" w:asciiTheme="majorEastAsia" w:hAnsiTheme="majorEastAsia" w:eastAsiaTheme="majorEastAsia" w:cstheme="majorEastAsia"/>
          <w:lang w:val="en-US" w:eastAsia="zh-CN"/>
        </w:rPr>
      </w:pPr>
      <w:bookmarkStart w:id="84" w:name="_Toc1630"/>
      <w:r>
        <w:rPr>
          <w:rFonts w:hint="eastAsia" w:asciiTheme="majorEastAsia" w:hAnsiTheme="majorEastAsia" w:eastAsiaTheme="majorEastAsia" w:cstheme="majorEastAsia"/>
          <w:lang w:val="en-US" w:eastAsia="zh-CN"/>
        </w:rPr>
        <w:t>4.2</w:t>
      </w:r>
      <w:r>
        <w:rPr>
          <w:rFonts w:hint="eastAsia" w:asciiTheme="majorEastAsia" w:hAnsiTheme="majorEastAsia" w:eastAsiaTheme="majorEastAsia" w:cstheme="majorEastAsia"/>
        </w:rPr>
        <w:t>泄漏点维修</w:t>
      </w:r>
      <w:bookmarkEnd w:id="80"/>
      <w:bookmarkEnd w:id="81"/>
      <w:bookmarkEnd w:id="82"/>
      <w:bookmarkEnd w:id="83"/>
      <w:bookmarkEnd w:id="84"/>
    </w:p>
    <w:p w14:paraId="76D25720">
      <w:pPr>
        <w:pStyle w:val="4"/>
        <w:numPr>
          <w:ilvl w:val="1"/>
          <w:numId w:val="0"/>
        </w:numPr>
        <w:bidi w:val="0"/>
        <w:ind w:leftChars="0"/>
        <w:rPr>
          <w:rFonts w:hint="eastAsia" w:asciiTheme="majorEastAsia" w:hAnsiTheme="majorEastAsia" w:eastAsiaTheme="majorEastAsia" w:cstheme="majorEastAsia"/>
        </w:rPr>
      </w:pPr>
      <w:bookmarkStart w:id="85" w:name="_Toc30668"/>
      <w:bookmarkStart w:id="86" w:name="_Toc29307"/>
      <w:bookmarkStart w:id="87" w:name="_Toc18147"/>
      <w:bookmarkStart w:id="88" w:name="_Toc20510"/>
      <w:bookmarkStart w:id="89" w:name="_Toc11557"/>
      <w:r>
        <w:rPr>
          <w:rFonts w:hint="eastAsia" w:asciiTheme="majorEastAsia" w:hAnsiTheme="majorEastAsia" w:eastAsiaTheme="majorEastAsia" w:cstheme="majorEastAsia"/>
        </w:rPr>
        <w:t>泄漏点维修规定</w:t>
      </w:r>
      <w:bookmarkEnd w:id="85"/>
      <w:bookmarkEnd w:id="86"/>
      <w:bookmarkEnd w:id="87"/>
      <w:bookmarkEnd w:id="88"/>
      <w:bookmarkEnd w:id="89"/>
    </w:p>
    <w:p w14:paraId="3506863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一、按照《石油化学工业污染物排放标准》（GB 31571-2015）规定的方法，密封点符合下列任一条件，即可确认发生泄漏：</w:t>
      </w:r>
    </w:p>
    <w:p w14:paraId="5D792F3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（1）有机气体和挥发性有机液体流经的设备与管线组件，采用氢火焰离子化检测仪（以甲烷或丙烷为校正气体），泄漏检测值大于等于2000µmol/mol。</w:t>
      </w:r>
    </w:p>
    <w:p w14:paraId="46D60CC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（2）基它挥发性有机物流经的设备与管线组件，采用氢火焰离子化检测仪（以甲烷或丙烷为校正气体），泄漏检测值大于等于500µmol/mol。</w:t>
      </w:r>
    </w:p>
    <w:p w14:paraId="1BAA7EC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val="en-US" w:eastAsia="zh-CN"/>
        </w:rPr>
        <w:t>二、</w:t>
      </w:r>
      <w:r>
        <w:rPr>
          <w:rFonts w:hint="eastAsia" w:asciiTheme="majorEastAsia" w:hAnsiTheme="majorEastAsia" w:eastAsiaTheme="majorEastAsia" w:cstheme="majorEastAsia"/>
          <w:color w:val="auto"/>
          <w:sz w:val="21"/>
          <w:szCs w:val="21"/>
        </w:rPr>
        <w:t>企业所在地地方标准规定的泄漏确认条件；</w:t>
      </w:r>
    </w:p>
    <w:p w14:paraId="5D5E685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根据《东营市挥发性有机物泄漏检测与修复（LDAR）实施技术导则》采用本要求规定的技术方法，满足下列条件之一，即可确认发生泄漏：</w:t>
      </w:r>
    </w:p>
    <w:p w14:paraId="1E84699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用常规检测方法测得的净检测值超过泄漏定义浓度值的现象；（2）用非常规检测或检 查发现的泄漏现象。其中泄漏浓度定义浓度值按表 1 执行。 </w:t>
      </w:r>
    </w:p>
    <w:p w14:paraId="056F989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表1  泄漏定义浓度值</w:t>
      </w:r>
    </w:p>
    <w:p w14:paraId="36E3A35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righ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单位：</w:t>
      </w:r>
      <w:r>
        <w:rPr>
          <w:rFonts w:hint="eastAsia" w:asciiTheme="majorEastAsia" w:hAnsiTheme="majorEastAsia" w:eastAsiaTheme="majorEastAsia" w:cstheme="majorEastAsia"/>
          <w:color w:val="auto"/>
          <w:sz w:val="21"/>
          <w:szCs w:val="21"/>
        </w:rPr>
        <w:t>µmol/mol</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3"/>
        <w:gridCol w:w="1975"/>
        <w:gridCol w:w="1976"/>
      </w:tblGrid>
      <w:tr w14:paraId="3328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vMerge w:val="restart"/>
            <w:vAlign w:val="center"/>
          </w:tcPr>
          <w:p w14:paraId="3CE8E56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设备</w:t>
            </w:r>
          </w:p>
        </w:tc>
        <w:tc>
          <w:tcPr>
            <w:tcW w:w="3951" w:type="dxa"/>
            <w:gridSpan w:val="2"/>
          </w:tcPr>
          <w:p w14:paraId="05DD5C1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泄漏定义浓度值</w:t>
            </w:r>
          </w:p>
        </w:tc>
      </w:tr>
      <w:tr w14:paraId="5230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vMerge w:val="continue"/>
          </w:tcPr>
          <w:p w14:paraId="71637CF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rPr>
            </w:pPr>
          </w:p>
        </w:tc>
        <w:tc>
          <w:tcPr>
            <w:tcW w:w="1975" w:type="dxa"/>
          </w:tcPr>
          <w:p w14:paraId="660FFF2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第一时段</w:t>
            </w:r>
          </w:p>
        </w:tc>
        <w:tc>
          <w:tcPr>
            <w:tcW w:w="1976" w:type="dxa"/>
          </w:tcPr>
          <w:p w14:paraId="1CC7433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第二时段</w:t>
            </w:r>
          </w:p>
        </w:tc>
      </w:tr>
      <w:tr w14:paraId="64193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tcPr>
          <w:p w14:paraId="3B040B2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有机气体或挥发性有机气体（轻液体）流经的设备管线</w:t>
            </w:r>
          </w:p>
        </w:tc>
        <w:tc>
          <w:tcPr>
            <w:tcW w:w="1975" w:type="dxa"/>
          </w:tcPr>
          <w:p w14:paraId="42CA431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1000</w:t>
            </w:r>
          </w:p>
        </w:tc>
        <w:tc>
          <w:tcPr>
            <w:tcW w:w="1976" w:type="dxa"/>
          </w:tcPr>
          <w:p w14:paraId="4233C42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500</w:t>
            </w:r>
          </w:p>
        </w:tc>
      </w:tr>
      <w:tr w14:paraId="5025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tcPr>
          <w:p w14:paraId="7F59A8E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其它物料流经的设备管线</w:t>
            </w:r>
          </w:p>
        </w:tc>
        <w:tc>
          <w:tcPr>
            <w:tcW w:w="1975" w:type="dxa"/>
          </w:tcPr>
          <w:p w14:paraId="3B7AA01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500</w:t>
            </w:r>
          </w:p>
        </w:tc>
        <w:tc>
          <w:tcPr>
            <w:tcW w:w="1976" w:type="dxa"/>
          </w:tcPr>
          <w:p w14:paraId="2785559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200</w:t>
            </w:r>
          </w:p>
        </w:tc>
      </w:tr>
    </w:tbl>
    <w:p w14:paraId="4845151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rPr>
      </w:pPr>
    </w:p>
    <w:p w14:paraId="279C491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840" w:firstLineChars="400"/>
        <w:jc w:val="left"/>
        <w:textAlignment w:val="auto"/>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z w:val="21"/>
          <w:szCs w:val="21"/>
          <w:lang w:val="en-US" w:eastAsia="zh-CN"/>
        </w:rPr>
        <w:t>自本要求发布之日起至 2020 年 12 月 31 日止，现有项目执行第一时段泄漏定义浓度值；自 2021 年 1 月 1 日起，现有项目执行第二时段泄漏定义浓度值。自本要求 发布之日起，新建项目执行第二时段泄漏定义浓度值。</w:t>
      </w:r>
      <w:r>
        <w:rPr>
          <w:rFonts w:hint="eastAsia" w:asciiTheme="majorEastAsia" w:hAnsiTheme="majorEastAsia" w:eastAsiaTheme="majorEastAsia" w:cstheme="majorEastAsia"/>
          <w:color w:val="auto"/>
          <w:kern w:val="0"/>
          <w:sz w:val="24"/>
          <w:szCs w:val="24"/>
          <w:lang w:val="en-US" w:eastAsia="zh-CN" w:bidi="ar"/>
        </w:rPr>
        <w:t xml:space="preserve"> </w:t>
      </w:r>
    </w:p>
    <w:p w14:paraId="278C32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val="en-US" w:eastAsia="zh-CN"/>
        </w:rPr>
        <w:t>三</w:t>
      </w:r>
      <w:r>
        <w:rPr>
          <w:rFonts w:hint="eastAsia" w:asciiTheme="majorEastAsia" w:hAnsiTheme="majorEastAsia" w:eastAsiaTheme="majorEastAsia" w:cstheme="majorEastAsia"/>
          <w:color w:val="auto"/>
          <w:sz w:val="21"/>
          <w:szCs w:val="21"/>
        </w:rPr>
        <w:t>、延迟修复条件</w:t>
      </w:r>
    </w:p>
    <w:p w14:paraId="467A091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符合以下条件之一的泄漏点可延迟修复：</w:t>
      </w:r>
    </w:p>
    <w:p w14:paraId="58BE52A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若检测到泄漏后，在不关闭工艺单元的条件下，在15日内进行维修技术上不可行；</w:t>
      </w:r>
    </w:p>
    <w:p w14:paraId="0C4A20A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立即维修存在安全风险；</w:t>
      </w:r>
    </w:p>
    <w:p w14:paraId="0152643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3</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泄漏密封点立即维修引发的VOCs排放量大于泄漏点延迟修复造成的排放量，应尽可能回收泄漏点延迟修复过程中排放的涉VOCs物料。</w:t>
      </w:r>
    </w:p>
    <w:p w14:paraId="3FD65D70">
      <w:pPr>
        <w:pStyle w:val="4"/>
        <w:numPr>
          <w:ilvl w:val="1"/>
          <w:numId w:val="0"/>
        </w:numPr>
        <w:pBdr>
          <w:top w:val="none" w:color="auto" w:sz="0" w:space="0"/>
          <w:left w:val="none" w:color="auto" w:sz="0" w:space="0"/>
          <w:bottom w:val="none" w:color="auto" w:sz="0" w:space="0"/>
          <w:right w:val="none" w:color="auto" w:sz="0" w:space="0"/>
        </w:pBdr>
        <w:shd w:val="clear"/>
        <w:bidi w:val="0"/>
        <w:ind w:leftChars="0"/>
        <w:rPr>
          <w:rFonts w:hint="eastAsia" w:asciiTheme="majorEastAsia" w:hAnsiTheme="majorEastAsia" w:eastAsiaTheme="majorEastAsia" w:cstheme="majorEastAsia"/>
          <w:lang w:val="en-US" w:eastAsia="zh-CN"/>
        </w:rPr>
      </w:pPr>
      <w:bookmarkStart w:id="90" w:name="_Toc30"/>
      <w:r>
        <w:rPr>
          <w:rFonts w:hint="eastAsia" w:asciiTheme="majorEastAsia" w:hAnsiTheme="majorEastAsia" w:eastAsiaTheme="majorEastAsia" w:cstheme="majorEastAsia"/>
          <w:lang w:val="en-US" w:eastAsia="zh-CN"/>
        </w:rPr>
        <w:t>4.3排放量、泄漏量统计</w:t>
      </w:r>
      <w:bookmarkEnd w:id="90"/>
    </w:p>
    <w:p w14:paraId="6A0C226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排放量、泄漏量核算结果的准确度从高到低排序为：实测法、相关方程法、筛选范围法、平均排放系数法。 </w:t>
      </w:r>
    </w:p>
    <w:p w14:paraId="6B8E2A9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1．实测法 </w:t>
      </w:r>
    </w:p>
    <w:p w14:paraId="093575D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实测法所得结果最接近真实排放情况，可选用该方法对密封点排放速率进行检测。 </w:t>
      </w:r>
    </w:p>
    <w:p w14:paraId="4A4AC7B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2．相关方程法 </w:t>
      </w:r>
    </w:p>
    <w:p w14:paraId="4BE0CB0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相关方程法是目前最为常用的核算方法，通过对各可达密封点进行现场检测，将得到的泄漏检测值和 TOC 中 VOCs 的质量分数代入相关方程，可得出设备的 VOCs 排放速率。 </w:t>
      </w:r>
    </w:p>
    <w:p w14:paraId="3BD5F68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挥发性有机物排放速率按财政部、国家发改委、环保部《挥发性有机物排污收费试点办法》（财税[2015]71号）中《石油化工行业VOCs排放量计算办法》中的关联公式法计算，公式详见下表所示：</w:t>
      </w:r>
    </w:p>
    <w:p w14:paraId="6C9FE3FD">
      <w:pPr>
        <w:ind w:firstLine="48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企业LDAR挥发性有机物排放速率计算公式</w:t>
      </w:r>
    </w:p>
    <w:tbl>
      <w:tblPr>
        <w:tblStyle w:val="1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15"/>
        <w:gridCol w:w="2224"/>
        <w:gridCol w:w="2476"/>
        <w:gridCol w:w="2735"/>
      </w:tblGrid>
      <w:tr w14:paraId="04BE42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vMerge w:val="restart"/>
            <w:tcBorders>
              <w:tl2br w:val="nil"/>
              <w:tr2bl w:val="nil"/>
            </w:tcBorders>
            <w:shd w:val="clear" w:color="auto" w:fill="auto"/>
            <w:vAlign w:val="center"/>
          </w:tcPr>
          <w:p w14:paraId="605FE75C">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密封点类型</w:t>
            </w:r>
          </w:p>
        </w:tc>
        <w:tc>
          <w:tcPr>
            <w:tcW w:w="1129" w:type="pct"/>
            <w:vMerge w:val="restart"/>
            <w:tcBorders>
              <w:tl2br w:val="nil"/>
              <w:tr2bl w:val="nil"/>
            </w:tcBorders>
            <w:shd w:val="clear" w:color="auto" w:fill="auto"/>
            <w:vAlign w:val="center"/>
          </w:tcPr>
          <w:p w14:paraId="6B0C407A">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默认零值排放速率(千克/小时/排放源)</w:t>
            </w:r>
          </w:p>
        </w:tc>
        <w:tc>
          <w:tcPr>
            <w:tcW w:w="1257" w:type="pct"/>
            <w:tcBorders>
              <w:tl2br w:val="nil"/>
              <w:tr2bl w:val="nil"/>
            </w:tcBorders>
            <w:shd w:val="clear" w:color="auto" w:fill="auto"/>
            <w:vAlign w:val="center"/>
          </w:tcPr>
          <w:p w14:paraId="73D1E233">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限定排放速率(千克/小时/排放源)</w:t>
            </w:r>
          </w:p>
        </w:tc>
        <w:tc>
          <w:tcPr>
            <w:tcW w:w="1386" w:type="pct"/>
            <w:vMerge w:val="restart"/>
            <w:tcBorders>
              <w:tl2br w:val="nil"/>
              <w:tr2bl w:val="nil"/>
            </w:tcBorders>
            <w:shd w:val="clear" w:color="auto" w:fill="auto"/>
            <w:vAlign w:val="center"/>
          </w:tcPr>
          <w:p w14:paraId="2A992AB5">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相关方程b(千克/小时/排放源)</w:t>
            </w:r>
          </w:p>
        </w:tc>
      </w:tr>
      <w:tr w14:paraId="7EDC90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vMerge w:val="continue"/>
            <w:tcBorders>
              <w:tl2br w:val="nil"/>
              <w:tr2bl w:val="nil"/>
            </w:tcBorders>
            <w:vAlign w:val="center"/>
          </w:tcPr>
          <w:p w14:paraId="3B09967F">
            <w:pPr>
              <w:widowControl/>
              <w:jc w:val="left"/>
              <w:rPr>
                <w:rFonts w:hint="eastAsia" w:asciiTheme="majorEastAsia" w:hAnsiTheme="majorEastAsia" w:eastAsiaTheme="majorEastAsia" w:cstheme="majorEastAsia"/>
                <w:b w:val="0"/>
                <w:bCs w:val="0"/>
                <w:color w:val="000000"/>
                <w:kern w:val="0"/>
                <w:sz w:val="21"/>
                <w:szCs w:val="21"/>
              </w:rPr>
            </w:pPr>
          </w:p>
        </w:tc>
        <w:tc>
          <w:tcPr>
            <w:tcW w:w="1129" w:type="pct"/>
            <w:vMerge w:val="continue"/>
            <w:tcBorders>
              <w:tl2br w:val="nil"/>
              <w:tr2bl w:val="nil"/>
            </w:tcBorders>
            <w:vAlign w:val="center"/>
          </w:tcPr>
          <w:p w14:paraId="7FAC0534">
            <w:pPr>
              <w:widowControl/>
              <w:jc w:val="left"/>
              <w:rPr>
                <w:rFonts w:hint="eastAsia" w:asciiTheme="majorEastAsia" w:hAnsiTheme="majorEastAsia" w:eastAsiaTheme="majorEastAsia" w:cstheme="majorEastAsia"/>
                <w:b w:val="0"/>
                <w:bCs w:val="0"/>
                <w:color w:val="000000"/>
                <w:kern w:val="0"/>
                <w:sz w:val="21"/>
                <w:szCs w:val="21"/>
              </w:rPr>
            </w:pPr>
          </w:p>
        </w:tc>
        <w:tc>
          <w:tcPr>
            <w:tcW w:w="1257" w:type="pct"/>
            <w:tcBorders>
              <w:tl2br w:val="nil"/>
              <w:tr2bl w:val="nil"/>
            </w:tcBorders>
            <w:shd w:val="clear" w:color="auto" w:fill="auto"/>
            <w:vAlign w:val="center"/>
          </w:tcPr>
          <w:p w14:paraId="093476D3">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&gt;50000 μmol/mol</w:t>
            </w:r>
          </w:p>
        </w:tc>
        <w:tc>
          <w:tcPr>
            <w:tcW w:w="1386" w:type="pct"/>
            <w:vMerge w:val="continue"/>
            <w:tcBorders>
              <w:tl2br w:val="nil"/>
              <w:tr2bl w:val="nil"/>
            </w:tcBorders>
            <w:vAlign w:val="center"/>
          </w:tcPr>
          <w:p w14:paraId="72283895">
            <w:pPr>
              <w:widowControl/>
              <w:jc w:val="left"/>
              <w:rPr>
                <w:rFonts w:hint="eastAsia" w:asciiTheme="majorEastAsia" w:hAnsiTheme="majorEastAsia" w:eastAsiaTheme="majorEastAsia" w:cstheme="majorEastAsia"/>
                <w:b w:val="0"/>
                <w:bCs w:val="0"/>
                <w:color w:val="000000"/>
                <w:kern w:val="0"/>
                <w:sz w:val="21"/>
                <w:szCs w:val="21"/>
              </w:rPr>
            </w:pPr>
          </w:p>
        </w:tc>
      </w:tr>
      <w:tr w14:paraId="0AD7FF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tcBorders>
              <w:tl2br w:val="nil"/>
              <w:tr2bl w:val="nil"/>
            </w:tcBorders>
            <w:shd w:val="clear" w:color="auto" w:fill="auto"/>
            <w:vAlign w:val="center"/>
          </w:tcPr>
          <w:p w14:paraId="6FF9FD99">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石油炼制的排放速率（炼油、营销终端和油气生产）</w:t>
            </w:r>
          </w:p>
        </w:tc>
      </w:tr>
      <w:tr w14:paraId="5D4CB3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44D32A3B">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阀门</w:t>
            </w:r>
          </w:p>
        </w:tc>
        <w:tc>
          <w:tcPr>
            <w:tcW w:w="1129" w:type="pct"/>
            <w:tcBorders>
              <w:tl2br w:val="nil"/>
              <w:tr2bl w:val="nil"/>
            </w:tcBorders>
            <w:shd w:val="clear" w:color="auto" w:fill="auto"/>
            <w:vAlign w:val="center"/>
          </w:tcPr>
          <w:p w14:paraId="0AE94F2C">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7.80E-06</w:t>
            </w:r>
          </w:p>
        </w:tc>
        <w:tc>
          <w:tcPr>
            <w:tcW w:w="1257" w:type="pct"/>
            <w:tcBorders>
              <w:tl2br w:val="nil"/>
              <w:tr2bl w:val="nil"/>
            </w:tcBorders>
            <w:shd w:val="clear" w:color="auto" w:fill="auto"/>
            <w:vAlign w:val="center"/>
          </w:tcPr>
          <w:p w14:paraId="2A1988FE">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0.14</w:t>
            </w:r>
          </w:p>
        </w:tc>
        <w:tc>
          <w:tcPr>
            <w:tcW w:w="1386" w:type="pct"/>
            <w:tcBorders>
              <w:tl2br w:val="nil"/>
              <w:tr2bl w:val="nil"/>
            </w:tcBorders>
            <w:shd w:val="clear" w:color="auto" w:fill="auto"/>
            <w:vAlign w:val="center"/>
          </w:tcPr>
          <w:p w14:paraId="60D03B60">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2.29E-06×SV0.746</w:t>
            </w:r>
          </w:p>
        </w:tc>
      </w:tr>
      <w:tr w14:paraId="5F243E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71ECB3AD">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泵</w:t>
            </w:r>
          </w:p>
        </w:tc>
        <w:tc>
          <w:tcPr>
            <w:tcW w:w="1129" w:type="pct"/>
            <w:tcBorders>
              <w:tl2br w:val="nil"/>
              <w:tr2bl w:val="nil"/>
            </w:tcBorders>
            <w:shd w:val="clear" w:color="auto" w:fill="auto"/>
            <w:vAlign w:val="center"/>
          </w:tcPr>
          <w:p w14:paraId="265907D3">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2.40E-05</w:t>
            </w:r>
          </w:p>
        </w:tc>
        <w:tc>
          <w:tcPr>
            <w:tcW w:w="1257" w:type="pct"/>
            <w:tcBorders>
              <w:tl2br w:val="nil"/>
              <w:tr2bl w:val="nil"/>
            </w:tcBorders>
            <w:shd w:val="clear" w:color="auto" w:fill="auto"/>
            <w:vAlign w:val="center"/>
          </w:tcPr>
          <w:p w14:paraId="7C3DDAB3">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0.16</w:t>
            </w:r>
          </w:p>
        </w:tc>
        <w:tc>
          <w:tcPr>
            <w:tcW w:w="1386" w:type="pct"/>
            <w:tcBorders>
              <w:tl2br w:val="nil"/>
              <w:tr2bl w:val="nil"/>
            </w:tcBorders>
            <w:shd w:val="clear" w:color="auto" w:fill="auto"/>
            <w:vAlign w:val="center"/>
          </w:tcPr>
          <w:p w14:paraId="03A0FD8C">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5.03E-05×SV0.610</w:t>
            </w:r>
          </w:p>
        </w:tc>
      </w:tr>
      <w:tr w14:paraId="271C40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1EA075DA">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其它</w:t>
            </w:r>
          </w:p>
        </w:tc>
        <w:tc>
          <w:tcPr>
            <w:tcW w:w="1129" w:type="pct"/>
            <w:tcBorders>
              <w:tl2br w:val="nil"/>
              <w:tr2bl w:val="nil"/>
            </w:tcBorders>
            <w:shd w:val="clear" w:color="auto" w:fill="auto"/>
            <w:vAlign w:val="center"/>
          </w:tcPr>
          <w:p w14:paraId="0EE15A1D">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4.00E-06</w:t>
            </w:r>
          </w:p>
        </w:tc>
        <w:tc>
          <w:tcPr>
            <w:tcW w:w="1257" w:type="pct"/>
            <w:tcBorders>
              <w:tl2br w:val="nil"/>
              <w:tr2bl w:val="nil"/>
            </w:tcBorders>
            <w:shd w:val="clear" w:color="auto" w:fill="auto"/>
            <w:vAlign w:val="center"/>
          </w:tcPr>
          <w:p w14:paraId="3F096CA2">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0.11</w:t>
            </w:r>
          </w:p>
        </w:tc>
        <w:tc>
          <w:tcPr>
            <w:tcW w:w="1386" w:type="pct"/>
            <w:tcBorders>
              <w:tl2br w:val="nil"/>
              <w:tr2bl w:val="nil"/>
            </w:tcBorders>
            <w:shd w:val="clear" w:color="auto" w:fill="auto"/>
            <w:vAlign w:val="center"/>
          </w:tcPr>
          <w:p w14:paraId="390A845C">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1.36E-05×SV0.589</w:t>
            </w:r>
          </w:p>
        </w:tc>
      </w:tr>
      <w:tr w14:paraId="13CB7F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76E0504F">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连接件</w:t>
            </w:r>
          </w:p>
        </w:tc>
        <w:tc>
          <w:tcPr>
            <w:tcW w:w="1129" w:type="pct"/>
            <w:tcBorders>
              <w:tl2br w:val="nil"/>
              <w:tr2bl w:val="nil"/>
            </w:tcBorders>
            <w:shd w:val="clear" w:color="auto" w:fill="auto"/>
            <w:vAlign w:val="center"/>
          </w:tcPr>
          <w:p w14:paraId="111CEFD6">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7.50E-06</w:t>
            </w:r>
          </w:p>
        </w:tc>
        <w:tc>
          <w:tcPr>
            <w:tcW w:w="1257" w:type="pct"/>
            <w:tcBorders>
              <w:tl2br w:val="nil"/>
              <w:tr2bl w:val="nil"/>
            </w:tcBorders>
            <w:shd w:val="clear" w:color="auto" w:fill="auto"/>
            <w:vAlign w:val="center"/>
          </w:tcPr>
          <w:p w14:paraId="7FCE28B8">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0.03</w:t>
            </w:r>
          </w:p>
        </w:tc>
        <w:tc>
          <w:tcPr>
            <w:tcW w:w="1386" w:type="pct"/>
            <w:tcBorders>
              <w:tl2br w:val="nil"/>
              <w:tr2bl w:val="nil"/>
            </w:tcBorders>
            <w:shd w:val="clear" w:color="auto" w:fill="auto"/>
            <w:vAlign w:val="center"/>
          </w:tcPr>
          <w:p w14:paraId="3D04B56B">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1.53E-06×SV0.735</w:t>
            </w:r>
          </w:p>
        </w:tc>
      </w:tr>
      <w:tr w14:paraId="384BD1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7A96D5E8">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法兰</w:t>
            </w:r>
          </w:p>
        </w:tc>
        <w:tc>
          <w:tcPr>
            <w:tcW w:w="1129" w:type="pct"/>
            <w:tcBorders>
              <w:tl2br w:val="nil"/>
              <w:tr2bl w:val="nil"/>
            </w:tcBorders>
            <w:shd w:val="clear" w:color="auto" w:fill="auto"/>
            <w:vAlign w:val="center"/>
          </w:tcPr>
          <w:p w14:paraId="36EE0045">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3.10E-07</w:t>
            </w:r>
          </w:p>
        </w:tc>
        <w:tc>
          <w:tcPr>
            <w:tcW w:w="1257" w:type="pct"/>
            <w:tcBorders>
              <w:tl2br w:val="nil"/>
              <w:tr2bl w:val="nil"/>
            </w:tcBorders>
            <w:shd w:val="clear" w:color="auto" w:fill="auto"/>
            <w:vAlign w:val="center"/>
          </w:tcPr>
          <w:p w14:paraId="6DDBCF05">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0.084</w:t>
            </w:r>
          </w:p>
        </w:tc>
        <w:tc>
          <w:tcPr>
            <w:tcW w:w="1386" w:type="pct"/>
            <w:tcBorders>
              <w:tl2br w:val="nil"/>
              <w:tr2bl w:val="nil"/>
            </w:tcBorders>
            <w:shd w:val="clear" w:color="auto" w:fill="auto"/>
            <w:vAlign w:val="center"/>
          </w:tcPr>
          <w:p w14:paraId="745802F7">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4.61E-06×SV0.703</w:t>
            </w:r>
          </w:p>
        </w:tc>
      </w:tr>
      <w:tr w14:paraId="71942F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49B6D128">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开口阀或开口管线</w:t>
            </w:r>
          </w:p>
        </w:tc>
        <w:tc>
          <w:tcPr>
            <w:tcW w:w="1129" w:type="pct"/>
            <w:tcBorders>
              <w:tl2br w:val="nil"/>
              <w:tr2bl w:val="nil"/>
            </w:tcBorders>
            <w:shd w:val="clear" w:color="auto" w:fill="auto"/>
            <w:vAlign w:val="center"/>
          </w:tcPr>
          <w:p w14:paraId="007529E7">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2.00E-06</w:t>
            </w:r>
          </w:p>
        </w:tc>
        <w:tc>
          <w:tcPr>
            <w:tcW w:w="1257" w:type="pct"/>
            <w:tcBorders>
              <w:tl2br w:val="nil"/>
              <w:tr2bl w:val="nil"/>
            </w:tcBorders>
            <w:shd w:val="clear" w:color="auto" w:fill="auto"/>
            <w:vAlign w:val="center"/>
          </w:tcPr>
          <w:p w14:paraId="79E66E39">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0.079</w:t>
            </w:r>
          </w:p>
        </w:tc>
        <w:tc>
          <w:tcPr>
            <w:tcW w:w="1386" w:type="pct"/>
            <w:tcBorders>
              <w:tl2br w:val="nil"/>
              <w:tr2bl w:val="nil"/>
            </w:tcBorders>
            <w:shd w:val="clear" w:color="auto" w:fill="auto"/>
            <w:vAlign w:val="center"/>
          </w:tcPr>
          <w:p w14:paraId="5864B4A5">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2.20E-06×SV0.704</w:t>
            </w:r>
          </w:p>
        </w:tc>
      </w:tr>
      <w:tr w14:paraId="2C19C2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tcBorders>
              <w:tl2br w:val="nil"/>
              <w:tr2bl w:val="nil"/>
            </w:tcBorders>
            <w:shd w:val="clear" w:color="auto" w:fill="auto"/>
            <w:vAlign w:val="center"/>
          </w:tcPr>
          <w:p w14:paraId="43061777">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石油化工的排放速率</w:t>
            </w:r>
          </w:p>
        </w:tc>
      </w:tr>
      <w:tr w14:paraId="4EEF5F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2D0351BA">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气体阀门</w:t>
            </w:r>
          </w:p>
        </w:tc>
        <w:tc>
          <w:tcPr>
            <w:tcW w:w="1129" w:type="pct"/>
            <w:tcBorders>
              <w:tl2br w:val="nil"/>
              <w:tr2bl w:val="nil"/>
            </w:tcBorders>
            <w:shd w:val="clear" w:color="auto" w:fill="auto"/>
            <w:vAlign w:val="center"/>
          </w:tcPr>
          <w:p w14:paraId="6E627526">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6.60E-07</w:t>
            </w:r>
          </w:p>
        </w:tc>
        <w:tc>
          <w:tcPr>
            <w:tcW w:w="1257" w:type="pct"/>
            <w:tcBorders>
              <w:tl2br w:val="nil"/>
              <w:tr2bl w:val="nil"/>
            </w:tcBorders>
            <w:shd w:val="clear" w:color="auto" w:fill="auto"/>
            <w:vAlign w:val="center"/>
          </w:tcPr>
          <w:p w14:paraId="0FD65FA1">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0.11</w:t>
            </w:r>
          </w:p>
        </w:tc>
        <w:tc>
          <w:tcPr>
            <w:tcW w:w="1386" w:type="pct"/>
            <w:tcBorders>
              <w:tl2br w:val="nil"/>
              <w:tr2bl w:val="nil"/>
            </w:tcBorders>
            <w:shd w:val="clear" w:color="auto" w:fill="auto"/>
            <w:vAlign w:val="center"/>
          </w:tcPr>
          <w:p w14:paraId="5A3D4243">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1.87E-06×SV0.873</w:t>
            </w:r>
          </w:p>
        </w:tc>
      </w:tr>
      <w:tr w14:paraId="652788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3F4778A5">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液体阀门</w:t>
            </w:r>
          </w:p>
        </w:tc>
        <w:tc>
          <w:tcPr>
            <w:tcW w:w="1129" w:type="pct"/>
            <w:tcBorders>
              <w:tl2br w:val="nil"/>
              <w:tr2bl w:val="nil"/>
            </w:tcBorders>
            <w:shd w:val="clear" w:color="auto" w:fill="auto"/>
            <w:vAlign w:val="center"/>
          </w:tcPr>
          <w:p w14:paraId="7FAD643D">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4.90E-07</w:t>
            </w:r>
          </w:p>
        </w:tc>
        <w:tc>
          <w:tcPr>
            <w:tcW w:w="1257" w:type="pct"/>
            <w:tcBorders>
              <w:tl2br w:val="nil"/>
              <w:tr2bl w:val="nil"/>
            </w:tcBorders>
            <w:shd w:val="clear" w:color="auto" w:fill="auto"/>
            <w:vAlign w:val="center"/>
          </w:tcPr>
          <w:p w14:paraId="12062065">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0.15</w:t>
            </w:r>
          </w:p>
        </w:tc>
        <w:tc>
          <w:tcPr>
            <w:tcW w:w="1386" w:type="pct"/>
            <w:tcBorders>
              <w:tl2br w:val="nil"/>
              <w:tr2bl w:val="nil"/>
            </w:tcBorders>
            <w:shd w:val="clear" w:color="auto" w:fill="auto"/>
            <w:vAlign w:val="center"/>
          </w:tcPr>
          <w:p w14:paraId="4CB0D37B">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6.41E-06×SV0.797</w:t>
            </w:r>
          </w:p>
        </w:tc>
      </w:tr>
      <w:tr w14:paraId="20EADD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18919521">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轻液体泵</w:t>
            </w:r>
          </w:p>
        </w:tc>
        <w:tc>
          <w:tcPr>
            <w:tcW w:w="1129" w:type="pct"/>
            <w:tcBorders>
              <w:tl2br w:val="nil"/>
              <w:tr2bl w:val="nil"/>
            </w:tcBorders>
            <w:shd w:val="clear" w:color="auto" w:fill="auto"/>
            <w:vAlign w:val="center"/>
          </w:tcPr>
          <w:p w14:paraId="46EC6CAA">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7.50E-06</w:t>
            </w:r>
          </w:p>
        </w:tc>
        <w:tc>
          <w:tcPr>
            <w:tcW w:w="1257" w:type="pct"/>
            <w:tcBorders>
              <w:tl2br w:val="nil"/>
              <w:tr2bl w:val="nil"/>
            </w:tcBorders>
            <w:shd w:val="clear" w:color="auto" w:fill="auto"/>
            <w:vAlign w:val="center"/>
          </w:tcPr>
          <w:p w14:paraId="2FFC1E2B">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0.62</w:t>
            </w:r>
          </w:p>
        </w:tc>
        <w:tc>
          <w:tcPr>
            <w:tcW w:w="1386" w:type="pct"/>
            <w:tcBorders>
              <w:tl2br w:val="nil"/>
              <w:tr2bl w:val="nil"/>
            </w:tcBorders>
            <w:shd w:val="clear" w:color="auto" w:fill="auto"/>
            <w:vAlign w:val="center"/>
          </w:tcPr>
          <w:p w14:paraId="29A912CF">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1.90E-05×SV0.824</w:t>
            </w:r>
          </w:p>
        </w:tc>
      </w:tr>
      <w:tr w14:paraId="6A37F3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14F8C4C8">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连接件</w:t>
            </w:r>
          </w:p>
        </w:tc>
        <w:tc>
          <w:tcPr>
            <w:tcW w:w="1129" w:type="pct"/>
            <w:tcBorders>
              <w:tl2br w:val="nil"/>
              <w:tr2bl w:val="nil"/>
            </w:tcBorders>
            <w:shd w:val="clear" w:color="auto" w:fill="auto"/>
            <w:vAlign w:val="center"/>
          </w:tcPr>
          <w:p w14:paraId="134C5C84">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6.10E-07</w:t>
            </w:r>
          </w:p>
        </w:tc>
        <w:tc>
          <w:tcPr>
            <w:tcW w:w="1257" w:type="pct"/>
            <w:tcBorders>
              <w:tl2br w:val="nil"/>
              <w:tr2bl w:val="nil"/>
            </w:tcBorders>
            <w:shd w:val="clear" w:color="auto" w:fill="auto"/>
            <w:vAlign w:val="center"/>
          </w:tcPr>
          <w:p w14:paraId="4FF99099">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0.22</w:t>
            </w:r>
          </w:p>
        </w:tc>
        <w:tc>
          <w:tcPr>
            <w:tcW w:w="1386" w:type="pct"/>
            <w:tcBorders>
              <w:tl2br w:val="nil"/>
              <w:tr2bl w:val="nil"/>
            </w:tcBorders>
            <w:shd w:val="clear" w:color="auto" w:fill="auto"/>
            <w:vAlign w:val="center"/>
          </w:tcPr>
          <w:p w14:paraId="06FA510E">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3.05E-06×SV0.885</w:t>
            </w:r>
          </w:p>
        </w:tc>
      </w:tr>
    </w:tbl>
    <w:p w14:paraId="47B2C2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注：</w:t>
      </w:r>
    </w:p>
    <w:p w14:paraId="47E92D5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a. SV是监测设备显示的监测值（SV，ppmv）。</w:t>
      </w:r>
    </w:p>
    <w:p w14:paraId="0641A7A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b. “其他”设备类型根据装置的变化不断完善，包括装油鹤管、压力安全阀、填料箱、排放口、压缩机、翻卸杆臂、隔膜、排水沟、开口、计量表、抛光杆。“其他”设备适用于除了连接件、法兰、开口管线、泵和阀之外的所有设备。</w:t>
      </w:r>
    </w:p>
    <w:p w14:paraId="3D914D3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3．筛选范围法 </w:t>
      </w:r>
    </w:p>
    <w:p w14:paraId="0669015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筛选范围法是一种基于检测值的简易算法。主要适合不可达法兰或连接件的 VOCs 排放速率核算。采用筛选范围法，核算某装置不可达法兰或连接件排放速率时，需要按照《石化企业泄漏检测与修复工作指南》检测至少 50%该装置的法兰或连接件，并且至少包含一个净检测值大于等于 10000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rPr>
        <w:t xml:space="preserve"> 的点，以净检测值 10000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rPr>
        <w:t>为界，分析已检测法兰或连接件净检测值可能≥10000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rPr>
        <w:t xml:space="preserve"> 的数量比例，将该比例应用到同一装置的不可达法兰或连接件，且按比例计算的大于等10000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rPr>
        <w:t xml:space="preserve"> 的不可达点个数向上取整。该方法仅适用于当轮检测。 </w:t>
      </w:r>
    </w:p>
    <w:p w14:paraId="4107873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4. 排放系数法 </w:t>
      </w:r>
    </w:p>
    <w:p w14:paraId="4B19776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根据物料状态（气体、轻液体、重液体）、密封类型以及 TOC、VOCs 和 CH4的质量分数，采用平均排放系数法核算排放速率。 </w:t>
      </w:r>
    </w:p>
    <w:p w14:paraId="0939CA0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5. 排放量、泄漏量统计 </w:t>
      </w:r>
    </w:p>
    <w:p w14:paraId="05E6E7D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各个密封点的检测时间和检测周期不同，计算的排放量、泄漏量略有不同。</w:t>
      </w:r>
    </w:p>
    <w:p w14:paraId="2DDC80B8">
      <w:pPr>
        <w:pStyle w:val="6"/>
        <w:rPr>
          <w:rFonts w:hint="eastAsia" w:asciiTheme="majorEastAsia" w:hAnsiTheme="majorEastAsia" w:eastAsiaTheme="majorEastAsia" w:cstheme="majorEastAsia"/>
          <w:sz w:val="21"/>
          <w:szCs w:val="21"/>
        </w:rPr>
      </w:pPr>
    </w:p>
    <w:p w14:paraId="26DC212F">
      <w:pPr>
        <w:keepNext w:val="0"/>
        <w:keepLines w:val="0"/>
        <w:pageBreakBefore w:val="0"/>
        <w:kinsoku/>
        <w:wordWrap/>
        <w:overflowPunct/>
        <w:topLinePunct w:val="0"/>
        <w:autoSpaceDE/>
        <w:autoSpaceDN/>
        <w:bidi w:val="0"/>
        <w:adjustRightInd/>
        <w:snapToGrid/>
        <w:spacing w:before="240" w:after="240" w:line="400" w:lineRule="exact"/>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排放量统计表</w:t>
      </w:r>
    </w:p>
    <w:tbl>
      <w:tblPr>
        <w:tblStyle w:val="13"/>
        <w:tblW w:w="4992"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746"/>
        <w:gridCol w:w="2175"/>
        <w:gridCol w:w="2388"/>
        <w:gridCol w:w="2488"/>
        <w:gridCol w:w="1856"/>
      </w:tblGrid>
      <w:tr w14:paraId="3CD69B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73" w:hRule="atLeast"/>
          <w:jc w:val="center"/>
        </w:trPr>
        <w:tc>
          <w:tcPr>
            <w:tcW w:w="386" w:type="pct"/>
            <w:tcBorders>
              <w:tl2br w:val="nil"/>
              <w:tr2bl w:val="nil"/>
            </w:tcBorders>
            <w:shd w:val="clear" w:color="auto" w:fill="auto"/>
            <w:tcMar>
              <w:top w:w="15" w:type="dxa"/>
              <w:left w:w="15" w:type="dxa"/>
              <w:right w:w="15" w:type="dxa"/>
            </w:tcMar>
            <w:vAlign w:val="center"/>
          </w:tcPr>
          <w:p w14:paraId="2E9010BA">
            <w:pPr>
              <w:jc w:val="center"/>
              <w:rPr>
                <w:rFonts w:hint="eastAsia" w:asciiTheme="majorEastAsia" w:hAnsiTheme="majorEastAsia" w:eastAsiaTheme="majorEastAsia" w:cstheme="majorEastAsia"/>
                <w:b w:val="0"/>
                <w:bCs w:val="0"/>
                <w:color w:val="000000"/>
                <w:sz w:val="21"/>
                <w:szCs w:val="21"/>
                <w:lang w:val="en-US" w:eastAsia="zh-CN"/>
              </w:rPr>
            </w:pPr>
            <w:r>
              <w:rPr>
                <w:rFonts w:hint="eastAsia" w:asciiTheme="majorEastAsia" w:hAnsiTheme="majorEastAsia" w:eastAsiaTheme="majorEastAsia" w:cstheme="majorEastAsia"/>
                <w:b w:val="0"/>
                <w:bCs w:val="0"/>
                <w:color w:val="000000"/>
                <w:sz w:val="21"/>
                <w:szCs w:val="21"/>
                <w:lang w:val="en-US" w:eastAsia="zh-CN"/>
              </w:rPr>
              <w:t>序号</w:t>
            </w:r>
          </w:p>
        </w:tc>
        <w:tc>
          <w:tcPr>
            <w:tcW w:w="1126" w:type="pct"/>
            <w:tcBorders>
              <w:tl2br w:val="nil"/>
              <w:tr2bl w:val="nil"/>
            </w:tcBorders>
            <w:shd w:val="clear" w:color="auto" w:fill="auto"/>
            <w:tcMar>
              <w:top w:w="15" w:type="dxa"/>
              <w:left w:w="15" w:type="dxa"/>
              <w:right w:w="15" w:type="dxa"/>
            </w:tcMar>
            <w:vAlign w:val="center"/>
          </w:tcPr>
          <w:p w14:paraId="784207D3">
            <w:pPr>
              <w:jc w:val="center"/>
              <w:rPr>
                <w:rFonts w:hint="eastAsia" w:asciiTheme="majorEastAsia" w:hAnsiTheme="majorEastAsia" w:eastAsiaTheme="majorEastAsia" w:cstheme="majorEastAsia"/>
                <w:b w:val="0"/>
                <w:bCs w:val="0"/>
                <w:color w:val="000000"/>
                <w:sz w:val="21"/>
                <w:szCs w:val="21"/>
                <w:lang w:val="en-US" w:eastAsia="zh-CN"/>
              </w:rPr>
            </w:pPr>
            <w:r>
              <w:rPr>
                <w:rFonts w:hint="eastAsia" w:asciiTheme="majorEastAsia" w:hAnsiTheme="majorEastAsia" w:eastAsiaTheme="majorEastAsia" w:cstheme="majorEastAsia"/>
                <w:b w:val="0"/>
                <w:bCs w:val="0"/>
                <w:color w:val="000000"/>
                <w:sz w:val="21"/>
                <w:szCs w:val="21"/>
                <w:lang w:val="en-US" w:eastAsia="zh-CN"/>
              </w:rPr>
              <w:t>装置名称</w:t>
            </w:r>
          </w:p>
        </w:tc>
        <w:tc>
          <w:tcPr>
            <w:tcW w:w="1236" w:type="pct"/>
            <w:tcBorders>
              <w:tl2br w:val="nil"/>
              <w:tr2bl w:val="nil"/>
            </w:tcBorders>
            <w:shd w:val="clear" w:color="auto" w:fill="auto"/>
            <w:tcMar>
              <w:top w:w="15" w:type="dxa"/>
              <w:left w:w="15" w:type="dxa"/>
              <w:right w:w="15" w:type="dxa"/>
            </w:tcMar>
            <w:vAlign w:val="center"/>
          </w:tcPr>
          <w:p w14:paraId="05FF8FAE">
            <w:pPr>
              <w:jc w:val="center"/>
              <w:rPr>
                <w:rFonts w:hint="eastAsia" w:asciiTheme="majorEastAsia" w:hAnsiTheme="majorEastAsia" w:eastAsiaTheme="majorEastAsia" w:cstheme="majorEastAsia"/>
                <w:b w:val="0"/>
                <w:bCs w:val="0"/>
                <w:color w:val="auto"/>
                <w:sz w:val="21"/>
                <w:szCs w:val="21"/>
                <w:lang w:val="en-US" w:eastAsia="zh-CN"/>
              </w:rPr>
            </w:pPr>
            <w:r>
              <w:rPr>
                <w:rFonts w:hint="eastAsia" w:asciiTheme="majorEastAsia" w:hAnsiTheme="majorEastAsia" w:eastAsiaTheme="majorEastAsia" w:cstheme="majorEastAsia"/>
                <w:b w:val="0"/>
                <w:bCs w:val="0"/>
                <w:color w:val="auto"/>
                <w:sz w:val="21"/>
                <w:szCs w:val="21"/>
                <w:lang w:val="en-US" w:eastAsia="zh-CN"/>
              </w:rPr>
              <w:t>复检前周期排放量(kg/季度）</w:t>
            </w:r>
          </w:p>
        </w:tc>
        <w:tc>
          <w:tcPr>
            <w:tcW w:w="1288" w:type="pct"/>
            <w:tcBorders>
              <w:tl2br w:val="nil"/>
              <w:tr2bl w:val="nil"/>
            </w:tcBorders>
            <w:shd w:val="clear" w:color="auto" w:fill="auto"/>
            <w:tcMar>
              <w:top w:w="15" w:type="dxa"/>
              <w:left w:w="15" w:type="dxa"/>
              <w:right w:w="15" w:type="dxa"/>
            </w:tcMar>
            <w:vAlign w:val="center"/>
          </w:tcPr>
          <w:p w14:paraId="0F605966">
            <w:pPr>
              <w:jc w:val="center"/>
              <w:rPr>
                <w:rFonts w:hint="eastAsia" w:asciiTheme="majorEastAsia" w:hAnsiTheme="majorEastAsia" w:eastAsiaTheme="majorEastAsia" w:cstheme="majorEastAsia"/>
                <w:b w:val="0"/>
                <w:bCs w:val="0"/>
                <w:color w:val="auto"/>
                <w:sz w:val="21"/>
                <w:szCs w:val="21"/>
                <w:lang w:val="en-US" w:eastAsia="zh-CN"/>
              </w:rPr>
            </w:pPr>
            <w:r>
              <w:rPr>
                <w:rFonts w:hint="eastAsia" w:asciiTheme="majorEastAsia" w:hAnsiTheme="majorEastAsia" w:eastAsiaTheme="majorEastAsia" w:cstheme="majorEastAsia"/>
                <w:b w:val="0"/>
                <w:bCs w:val="0"/>
                <w:color w:val="auto"/>
                <w:sz w:val="21"/>
                <w:szCs w:val="21"/>
                <w:lang w:val="en-US" w:eastAsia="zh-CN"/>
              </w:rPr>
              <w:t>周期排放量(kg/季度）</w:t>
            </w:r>
          </w:p>
        </w:tc>
        <w:tc>
          <w:tcPr>
            <w:tcW w:w="961" w:type="pct"/>
            <w:tcBorders>
              <w:tl2br w:val="nil"/>
              <w:tr2bl w:val="nil"/>
            </w:tcBorders>
            <w:shd w:val="clear" w:color="auto" w:fill="auto"/>
            <w:tcMar>
              <w:top w:w="15" w:type="dxa"/>
              <w:left w:w="15" w:type="dxa"/>
              <w:right w:w="15" w:type="dxa"/>
            </w:tcMar>
            <w:vAlign w:val="center"/>
          </w:tcPr>
          <w:p w14:paraId="1BC6CE5A">
            <w:pPr>
              <w:jc w:val="center"/>
              <w:rPr>
                <w:rFonts w:hint="eastAsia" w:asciiTheme="majorEastAsia" w:hAnsiTheme="majorEastAsia" w:eastAsiaTheme="majorEastAsia" w:cstheme="majorEastAsia"/>
                <w:b w:val="0"/>
                <w:bCs w:val="0"/>
                <w:color w:val="auto"/>
                <w:sz w:val="21"/>
                <w:szCs w:val="21"/>
                <w:lang w:val="en-US" w:eastAsia="zh-CN"/>
              </w:rPr>
            </w:pPr>
            <w:r>
              <w:rPr>
                <w:rFonts w:hint="eastAsia" w:asciiTheme="majorEastAsia" w:hAnsiTheme="majorEastAsia" w:eastAsiaTheme="majorEastAsia" w:cstheme="majorEastAsia"/>
                <w:b w:val="0"/>
                <w:bCs w:val="0"/>
                <w:color w:val="auto"/>
                <w:sz w:val="21"/>
                <w:szCs w:val="21"/>
                <w:lang w:val="en-US" w:eastAsia="zh-CN"/>
              </w:rPr>
              <w:t>周期减排量(kg/季度）</w:t>
            </w:r>
          </w:p>
        </w:tc>
      </w:tr>
      <w:tr w14:paraId="59BDA7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14:paraId="4C8BD6F7">
            <w:pPr>
              <w:ind w:firstLine="0" w:firstLineChars="0"/>
              <w:jc w:val="center"/>
              <w:rPr>
                <w:rFonts w:hint="eastAsia" w:asciiTheme="majorEastAsia" w:hAnsiTheme="majorEastAsia" w:eastAsiaTheme="majorEastAsia" w:cstheme="majorEastAsia"/>
                <w:sz w:val="22"/>
                <w:szCs w:val="22"/>
                <w:lang w:val="en-US" w:eastAsia="zh-CN" w:bidi="ar-SA"/>
              </w:rPr>
            </w:pPr>
            <w:r>
              <w:rPr>
                <w:rFonts w:hint="eastAsia" w:asciiTheme="majorEastAsia" w:hAnsiTheme="majorEastAsia" w:eastAsiaTheme="majorEastAsia" w:cstheme="majorEastAsia"/>
                <w:bCs/>
                <w:sz w:val="21"/>
                <w:szCs w:val="21"/>
                <w:lang w:val="en-US" w:eastAsia="zh-CN"/>
              </w:rPr>
              <w:t>1</w:t>
            </w:r>
          </w:p>
        </w:tc>
        <w:tc>
          <w:tcPr>
            <w:tcW w:w="1126" w:type="pct"/>
            <w:tcBorders>
              <w:tl2br w:val="nil"/>
              <w:tr2bl w:val="nil"/>
            </w:tcBorders>
            <w:shd w:val="clear" w:color="auto" w:fill="auto"/>
            <w:tcMar>
              <w:top w:w="15" w:type="dxa"/>
              <w:left w:w="15" w:type="dxa"/>
              <w:right w:w="15" w:type="dxa"/>
            </w:tcMar>
            <w:vAlign w:val="center"/>
          </w:tcPr>
          <w:p w14:paraId="07CAFFBC">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sz w:val="22"/>
                <w:szCs w:val="22"/>
                <w:lang w:val="en-US" w:eastAsia="zh-CN" w:bidi="ar-SA"/>
              </w:rPr>
            </w:pPr>
            <w:r>
              <w:rPr>
                <w:rFonts w:hint="eastAsia" w:asciiTheme="majorEastAsia" w:hAnsiTheme="majorEastAsia" w:eastAsiaTheme="majorEastAsia" w:cstheme="majorEastAsia"/>
                <w:sz w:val="21"/>
                <w:szCs w:val="21"/>
                <w:lang w:val="en-US" w:eastAsia="zh-CN"/>
              </w:rPr>
              <w:t>ODA一装置</w:t>
            </w:r>
          </w:p>
        </w:tc>
        <w:tc>
          <w:tcPr>
            <w:tcW w:w="1236" w:type="pct"/>
            <w:tcBorders>
              <w:tl2br w:val="nil"/>
              <w:tr2bl w:val="nil"/>
            </w:tcBorders>
            <w:shd w:val="clear" w:color="auto" w:fill="auto"/>
            <w:tcMar>
              <w:top w:w="15" w:type="dxa"/>
              <w:left w:w="15" w:type="dxa"/>
              <w:right w:w="15" w:type="dxa"/>
            </w:tcMar>
            <w:vAlign w:val="center"/>
          </w:tcPr>
          <w:p w14:paraId="00692F1A">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4.47</w:t>
            </w:r>
          </w:p>
        </w:tc>
        <w:tc>
          <w:tcPr>
            <w:tcW w:w="1288" w:type="pct"/>
            <w:tcBorders>
              <w:tl2br w:val="nil"/>
              <w:tr2bl w:val="nil"/>
            </w:tcBorders>
            <w:shd w:val="clear" w:color="auto" w:fill="auto"/>
            <w:tcMar>
              <w:top w:w="15" w:type="dxa"/>
              <w:left w:w="15" w:type="dxa"/>
              <w:right w:w="15" w:type="dxa"/>
            </w:tcMar>
            <w:vAlign w:val="center"/>
          </w:tcPr>
          <w:p w14:paraId="7F223374">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4.47</w:t>
            </w:r>
          </w:p>
        </w:tc>
        <w:tc>
          <w:tcPr>
            <w:tcW w:w="961" w:type="pct"/>
            <w:tcBorders>
              <w:tl2br w:val="nil"/>
              <w:tr2bl w:val="nil"/>
            </w:tcBorders>
            <w:shd w:val="clear" w:color="auto" w:fill="auto"/>
            <w:tcMar>
              <w:top w:w="15" w:type="dxa"/>
              <w:left w:w="15" w:type="dxa"/>
              <w:right w:w="15" w:type="dxa"/>
            </w:tcMar>
            <w:vAlign w:val="center"/>
          </w:tcPr>
          <w:p w14:paraId="3475545E">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0</w:t>
            </w:r>
          </w:p>
        </w:tc>
      </w:tr>
      <w:tr w14:paraId="043757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14:paraId="5FBA55BB">
            <w:pPr>
              <w:ind w:firstLine="0" w:firstLineChars="0"/>
              <w:jc w:val="center"/>
              <w:rPr>
                <w:rFonts w:hint="eastAsia" w:asciiTheme="majorEastAsia" w:hAnsiTheme="majorEastAsia" w:eastAsiaTheme="majorEastAsia" w:cstheme="majorEastAsia"/>
                <w:sz w:val="22"/>
                <w:szCs w:val="22"/>
                <w:lang w:val="en-US" w:eastAsia="zh-CN" w:bidi="ar-SA"/>
              </w:rPr>
            </w:pPr>
            <w:r>
              <w:rPr>
                <w:rFonts w:hint="eastAsia" w:asciiTheme="majorEastAsia" w:hAnsiTheme="majorEastAsia" w:eastAsiaTheme="majorEastAsia" w:cstheme="majorEastAsia"/>
                <w:bCs/>
                <w:sz w:val="21"/>
                <w:szCs w:val="21"/>
                <w:lang w:val="en-US" w:eastAsia="zh-CN"/>
              </w:rPr>
              <w:t>2</w:t>
            </w:r>
          </w:p>
        </w:tc>
        <w:tc>
          <w:tcPr>
            <w:tcW w:w="1126" w:type="pct"/>
            <w:tcBorders>
              <w:tl2br w:val="nil"/>
              <w:tr2bl w:val="nil"/>
            </w:tcBorders>
            <w:shd w:val="clear" w:color="auto" w:fill="auto"/>
            <w:tcMar>
              <w:top w:w="15" w:type="dxa"/>
              <w:left w:w="15" w:type="dxa"/>
              <w:right w:w="15" w:type="dxa"/>
            </w:tcMar>
            <w:vAlign w:val="center"/>
          </w:tcPr>
          <w:p w14:paraId="4974EC7F">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sz w:val="22"/>
                <w:szCs w:val="22"/>
                <w:lang w:val="en-US" w:eastAsia="zh-CN" w:bidi="ar-SA"/>
              </w:rPr>
            </w:pPr>
            <w:r>
              <w:rPr>
                <w:rFonts w:hint="eastAsia" w:asciiTheme="majorEastAsia" w:hAnsiTheme="majorEastAsia" w:eastAsiaTheme="majorEastAsia" w:cstheme="majorEastAsia"/>
                <w:sz w:val="21"/>
                <w:szCs w:val="21"/>
                <w:lang w:val="en-US" w:eastAsia="zh-CN"/>
              </w:rPr>
              <w:t>ODA二装置</w:t>
            </w:r>
          </w:p>
        </w:tc>
        <w:tc>
          <w:tcPr>
            <w:tcW w:w="1236" w:type="pct"/>
            <w:tcBorders>
              <w:tl2br w:val="nil"/>
              <w:tr2bl w:val="nil"/>
            </w:tcBorders>
            <w:shd w:val="clear" w:color="auto" w:fill="auto"/>
            <w:tcMar>
              <w:top w:w="15" w:type="dxa"/>
              <w:left w:w="15" w:type="dxa"/>
              <w:right w:w="15" w:type="dxa"/>
            </w:tcMar>
            <w:vAlign w:val="center"/>
          </w:tcPr>
          <w:p w14:paraId="602C1F5B">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auto"/>
                <w:kern w:val="0"/>
                <w:sz w:val="21"/>
                <w:szCs w:val="21"/>
                <w:u w:val="none"/>
                <w:lang w:val="en-US" w:eastAsia="zh-CN" w:bidi="ar-SA"/>
              </w:rPr>
            </w:pPr>
            <w:r>
              <w:rPr>
                <w:rFonts w:hint="eastAsia" w:asciiTheme="majorEastAsia" w:hAnsiTheme="majorEastAsia" w:eastAsiaTheme="majorEastAsia" w:cstheme="majorEastAsia"/>
                <w:b w:val="0"/>
                <w:bCs w:val="0"/>
                <w:color w:val="auto"/>
                <w:kern w:val="0"/>
                <w:sz w:val="21"/>
                <w:szCs w:val="21"/>
                <w:u w:val="none"/>
                <w:lang w:val="en-US" w:eastAsia="zh-CN" w:bidi="ar-SA"/>
              </w:rPr>
              <w:t>83.77</w:t>
            </w:r>
          </w:p>
        </w:tc>
        <w:tc>
          <w:tcPr>
            <w:tcW w:w="1288" w:type="pct"/>
            <w:tcBorders>
              <w:tl2br w:val="nil"/>
              <w:tr2bl w:val="nil"/>
            </w:tcBorders>
            <w:shd w:val="clear" w:color="auto" w:fill="auto"/>
            <w:tcMar>
              <w:top w:w="15" w:type="dxa"/>
              <w:left w:w="15" w:type="dxa"/>
              <w:right w:w="15" w:type="dxa"/>
            </w:tcMar>
            <w:vAlign w:val="center"/>
          </w:tcPr>
          <w:p w14:paraId="0CFD41C7">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auto"/>
                <w:kern w:val="0"/>
                <w:sz w:val="21"/>
                <w:szCs w:val="21"/>
                <w:u w:val="none"/>
                <w:lang w:val="en-US" w:eastAsia="zh-CN" w:bidi="ar-SA"/>
              </w:rPr>
            </w:pPr>
            <w:r>
              <w:rPr>
                <w:rFonts w:hint="eastAsia" w:asciiTheme="majorEastAsia" w:hAnsiTheme="majorEastAsia" w:eastAsiaTheme="majorEastAsia" w:cstheme="majorEastAsia"/>
                <w:b w:val="0"/>
                <w:bCs w:val="0"/>
                <w:color w:val="auto"/>
                <w:kern w:val="0"/>
                <w:sz w:val="21"/>
                <w:szCs w:val="21"/>
                <w:u w:val="none"/>
                <w:lang w:val="en-US" w:eastAsia="zh-CN" w:bidi="ar-SA"/>
              </w:rPr>
              <w:t>83.65</w:t>
            </w:r>
          </w:p>
        </w:tc>
        <w:tc>
          <w:tcPr>
            <w:tcW w:w="961" w:type="pct"/>
            <w:tcBorders>
              <w:tl2br w:val="nil"/>
              <w:tr2bl w:val="nil"/>
            </w:tcBorders>
            <w:shd w:val="clear" w:color="auto" w:fill="auto"/>
            <w:tcMar>
              <w:top w:w="15" w:type="dxa"/>
              <w:left w:w="15" w:type="dxa"/>
              <w:right w:w="15" w:type="dxa"/>
            </w:tcMar>
            <w:vAlign w:val="center"/>
          </w:tcPr>
          <w:p w14:paraId="0597087B">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auto"/>
                <w:kern w:val="0"/>
                <w:sz w:val="21"/>
                <w:szCs w:val="21"/>
                <w:u w:val="none"/>
                <w:lang w:val="en-US" w:eastAsia="zh-CN" w:bidi="ar-SA"/>
              </w:rPr>
            </w:pPr>
            <w:r>
              <w:rPr>
                <w:rFonts w:hint="eastAsia" w:asciiTheme="majorEastAsia" w:hAnsiTheme="majorEastAsia" w:eastAsiaTheme="majorEastAsia" w:cstheme="majorEastAsia"/>
                <w:b w:val="0"/>
                <w:bCs w:val="0"/>
                <w:color w:val="auto"/>
                <w:kern w:val="0"/>
                <w:sz w:val="21"/>
                <w:szCs w:val="21"/>
                <w:u w:val="none"/>
                <w:lang w:val="en-US" w:eastAsia="zh-CN" w:bidi="ar-SA"/>
              </w:rPr>
              <w:t>0.12</w:t>
            </w:r>
          </w:p>
        </w:tc>
      </w:tr>
      <w:tr w14:paraId="47C316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14:paraId="291C01C1">
            <w:pPr>
              <w:ind w:firstLine="0" w:firstLineChars="0"/>
              <w:jc w:val="center"/>
              <w:rPr>
                <w:rFonts w:hint="eastAsia" w:asciiTheme="majorEastAsia" w:hAnsiTheme="majorEastAsia" w:eastAsiaTheme="majorEastAsia" w:cstheme="majorEastAsia"/>
                <w:sz w:val="24"/>
                <w:szCs w:val="22"/>
                <w:lang w:val="en-US" w:eastAsia="zh-CN" w:bidi="ar-SA"/>
              </w:rPr>
            </w:pPr>
            <w:r>
              <w:rPr>
                <w:rFonts w:hint="eastAsia" w:asciiTheme="majorEastAsia" w:hAnsiTheme="majorEastAsia" w:eastAsiaTheme="majorEastAsia" w:cstheme="majorEastAsia"/>
                <w:bCs/>
                <w:sz w:val="21"/>
                <w:szCs w:val="21"/>
                <w:lang w:val="en-US" w:eastAsia="zh-CN"/>
              </w:rPr>
              <w:t>3</w:t>
            </w:r>
          </w:p>
        </w:tc>
        <w:tc>
          <w:tcPr>
            <w:tcW w:w="1126" w:type="pct"/>
            <w:tcBorders>
              <w:tl2br w:val="nil"/>
              <w:tr2bl w:val="nil"/>
            </w:tcBorders>
            <w:shd w:val="clear" w:color="auto" w:fill="auto"/>
            <w:tcMar>
              <w:top w:w="15" w:type="dxa"/>
              <w:left w:w="15" w:type="dxa"/>
              <w:right w:w="15" w:type="dxa"/>
            </w:tcMar>
            <w:vAlign w:val="center"/>
          </w:tcPr>
          <w:p w14:paraId="0BB863FF">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sz w:val="24"/>
                <w:szCs w:val="22"/>
                <w:lang w:val="en-US" w:eastAsia="zh-CN" w:bidi="ar-SA"/>
              </w:rPr>
            </w:pPr>
            <w:r>
              <w:rPr>
                <w:rFonts w:hint="eastAsia" w:asciiTheme="majorEastAsia" w:hAnsiTheme="majorEastAsia" w:eastAsiaTheme="majorEastAsia" w:cstheme="majorEastAsia"/>
                <w:sz w:val="21"/>
                <w:szCs w:val="21"/>
                <w:lang w:val="en-US" w:eastAsia="zh-CN"/>
              </w:rPr>
              <w:t>储运装置</w:t>
            </w:r>
          </w:p>
        </w:tc>
        <w:tc>
          <w:tcPr>
            <w:tcW w:w="1236" w:type="pct"/>
            <w:tcBorders>
              <w:tl2br w:val="nil"/>
              <w:tr2bl w:val="nil"/>
            </w:tcBorders>
            <w:shd w:val="clear" w:color="auto" w:fill="auto"/>
            <w:tcMar>
              <w:top w:w="15" w:type="dxa"/>
              <w:left w:w="15" w:type="dxa"/>
              <w:right w:w="15" w:type="dxa"/>
            </w:tcMar>
            <w:vAlign w:val="center"/>
          </w:tcPr>
          <w:p w14:paraId="5F6D056B">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auto"/>
                <w:kern w:val="0"/>
                <w:sz w:val="21"/>
                <w:szCs w:val="21"/>
                <w:u w:val="none"/>
                <w:lang w:val="en-US" w:eastAsia="zh-CN" w:bidi="ar-SA"/>
              </w:rPr>
            </w:pPr>
            <w:r>
              <w:rPr>
                <w:rFonts w:hint="eastAsia" w:asciiTheme="majorEastAsia" w:hAnsiTheme="majorEastAsia" w:eastAsiaTheme="majorEastAsia" w:cstheme="majorEastAsia"/>
                <w:b w:val="0"/>
                <w:bCs w:val="0"/>
                <w:color w:val="auto"/>
                <w:kern w:val="0"/>
                <w:sz w:val="21"/>
                <w:szCs w:val="21"/>
                <w:u w:val="none"/>
                <w:lang w:val="en-US" w:eastAsia="zh-CN" w:bidi="ar-SA"/>
              </w:rPr>
              <w:t>40.91</w:t>
            </w:r>
          </w:p>
        </w:tc>
        <w:tc>
          <w:tcPr>
            <w:tcW w:w="1288" w:type="pct"/>
            <w:tcBorders>
              <w:tl2br w:val="nil"/>
              <w:tr2bl w:val="nil"/>
            </w:tcBorders>
            <w:shd w:val="clear" w:color="auto" w:fill="auto"/>
            <w:tcMar>
              <w:top w:w="15" w:type="dxa"/>
              <w:left w:w="15" w:type="dxa"/>
              <w:right w:w="15" w:type="dxa"/>
            </w:tcMar>
            <w:vAlign w:val="center"/>
          </w:tcPr>
          <w:p w14:paraId="171E0228">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auto"/>
                <w:kern w:val="0"/>
                <w:sz w:val="21"/>
                <w:szCs w:val="21"/>
                <w:u w:val="none"/>
                <w:lang w:val="en-US" w:eastAsia="zh-CN" w:bidi="ar-SA"/>
              </w:rPr>
            </w:pPr>
            <w:r>
              <w:rPr>
                <w:rFonts w:hint="eastAsia" w:asciiTheme="majorEastAsia" w:hAnsiTheme="majorEastAsia" w:eastAsiaTheme="majorEastAsia" w:cstheme="majorEastAsia"/>
                <w:b w:val="0"/>
                <w:bCs w:val="0"/>
                <w:color w:val="auto"/>
                <w:kern w:val="0"/>
                <w:sz w:val="21"/>
                <w:szCs w:val="21"/>
                <w:u w:val="none"/>
                <w:lang w:val="en-US" w:eastAsia="zh-CN" w:bidi="ar-SA"/>
              </w:rPr>
              <w:t>40.74</w:t>
            </w:r>
          </w:p>
        </w:tc>
        <w:tc>
          <w:tcPr>
            <w:tcW w:w="961" w:type="pct"/>
            <w:tcBorders>
              <w:tl2br w:val="nil"/>
              <w:tr2bl w:val="nil"/>
            </w:tcBorders>
            <w:shd w:val="clear" w:color="auto" w:fill="auto"/>
            <w:tcMar>
              <w:top w:w="15" w:type="dxa"/>
              <w:left w:w="15" w:type="dxa"/>
              <w:right w:w="15" w:type="dxa"/>
            </w:tcMar>
            <w:vAlign w:val="center"/>
          </w:tcPr>
          <w:p w14:paraId="4C4FAAA8">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auto"/>
                <w:kern w:val="0"/>
                <w:sz w:val="21"/>
                <w:szCs w:val="21"/>
                <w:u w:val="none"/>
                <w:lang w:val="en-US" w:eastAsia="zh-CN" w:bidi="ar-SA"/>
              </w:rPr>
            </w:pPr>
            <w:r>
              <w:rPr>
                <w:rFonts w:hint="eastAsia" w:asciiTheme="majorEastAsia" w:hAnsiTheme="majorEastAsia" w:eastAsiaTheme="majorEastAsia" w:cstheme="majorEastAsia"/>
                <w:b w:val="0"/>
                <w:bCs w:val="0"/>
                <w:color w:val="auto"/>
                <w:kern w:val="0"/>
                <w:sz w:val="21"/>
                <w:szCs w:val="21"/>
                <w:u w:val="none"/>
                <w:lang w:val="en-US" w:eastAsia="zh-CN" w:bidi="ar-SA"/>
              </w:rPr>
              <w:t>0.17</w:t>
            </w:r>
          </w:p>
        </w:tc>
      </w:tr>
      <w:tr w14:paraId="136390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14:paraId="6D61A5A9">
            <w:pPr>
              <w:ind w:firstLine="0" w:firstLineChars="0"/>
              <w:jc w:val="center"/>
              <w:rPr>
                <w:rFonts w:hint="default"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bCs/>
                <w:sz w:val="21"/>
                <w:szCs w:val="21"/>
                <w:lang w:val="en-US" w:eastAsia="zh-CN"/>
              </w:rPr>
              <w:t>4</w:t>
            </w:r>
          </w:p>
        </w:tc>
        <w:tc>
          <w:tcPr>
            <w:tcW w:w="1126" w:type="pct"/>
            <w:tcBorders>
              <w:tl2br w:val="nil"/>
              <w:tr2bl w:val="nil"/>
            </w:tcBorders>
            <w:shd w:val="clear" w:color="auto" w:fill="auto"/>
            <w:tcMar>
              <w:top w:w="15" w:type="dxa"/>
              <w:left w:w="15" w:type="dxa"/>
              <w:right w:w="15" w:type="dxa"/>
            </w:tcMar>
            <w:vAlign w:val="center"/>
          </w:tcPr>
          <w:p w14:paraId="0C710DAC">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新材料一</w:t>
            </w:r>
          </w:p>
        </w:tc>
        <w:tc>
          <w:tcPr>
            <w:tcW w:w="1236" w:type="pct"/>
            <w:tcBorders>
              <w:tl2br w:val="nil"/>
              <w:tr2bl w:val="nil"/>
            </w:tcBorders>
            <w:shd w:val="clear" w:color="auto" w:fill="auto"/>
            <w:tcMar>
              <w:top w:w="15" w:type="dxa"/>
              <w:left w:w="15" w:type="dxa"/>
              <w:right w:w="15" w:type="dxa"/>
            </w:tcMar>
            <w:vAlign w:val="center"/>
          </w:tcPr>
          <w:p w14:paraId="6AAD8392">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auto"/>
                <w:kern w:val="0"/>
                <w:sz w:val="21"/>
                <w:szCs w:val="21"/>
                <w:u w:val="none"/>
                <w:lang w:val="en-US" w:eastAsia="zh-CN" w:bidi="ar-SA"/>
              </w:rPr>
            </w:pPr>
            <w:r>
              <w:rPr>
                <w:rFonts w:hint="eastAsia" w:asciiTheme="majorEastAsia" w:hAnsiTheme="majorEastAsia" w:eastAsiaTheme="majorEastAsia" w:cstheme="majorEastAsia"/>
                <w:b w:val="0"/>
                <w:bCs w:val="0"/>
                <w:color w:val="auto"/>
                <w:kern w:val="0"/>
                <w:sz w:val="21"/>
                <w:szCs w:val="21"/>
                <w:u w:val="none"/>
                <w:lang w:val="en-US" w:eastAsia="zh-CN" w:bidi="ar-SA"/>
              </w:rPr>
              <w:t>160.31</w:t>
            </w:r>
          </w:p>
        </w:tc>
        <w:tc>
          <w:tcPr>
            <w:tcW w:w="1288" w:type="pct"/>
            <w:tcBorders>
              <w:tl2br w:val="nil"/>
              <w:tr2bl w:val="nil"/>
            </w:tcBorders>
            <w:shd w:val="clear" w:color="auto" w:fill="auto"/>
            <w:tcMar>
              <w:top w:w="15" w:type="dxa"/>
              <w:left w:w="15" w:type="dxa"/>
              <w:right w:w="15" w:type="dxa"/>
            </w:tcMar>
            <w:vAlign w:val="center"/>
          </w:tcPr>
          <w:p w14:paraId="72259BB4">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auto"/>
                <w:kern w:val="0"/>
                <w:sz w:val="21"/>
                <w:szCs w:val="21"/>
                <w:u w:val="none"/>
                <w:lang w:val="en-US" w:eastAsia="zh-CN" w:bidi="ar-SA"/>
              </w:rPr>
            </w:pPr>
            <w:r>
              <w:rPr>
                <w:rFonts w:hint="eastAsia" w:asciiTheme="majorEastAsia" w:hAnsiTheme="majorEastAsia" w:eastAsiaTheme="majorEastAsia" w:cstheme="majorEastAsia"/>
                <w:b w:val="0"/>
                <w:bCs w:val="0"/>
                <w:color w:val="auto"/>
                <w:kern w:val="0"/>
                <w:sz w:val="21"/>
                <w:szCs w:val="21"/>
                <w:u w:val="none"/>
                <w:lang w:val="en-US" w:eastAsia="zh-CN" w:bidi="ar-SA"/>
              </w:rPr>
              <w:t>160.11</w:t>
            </w:r>
          </w:p>
        </w:tc>
        <w:tc>
          <w:tcPr>
            <w:tcW w:w="961" w:type="pct"/>
            <w:tcBorders>
              <w:tl2br w:val="nil"/>
              <w:tr2bl w:val="nil"/>
            </w:tcBorders>
            <w:shd w:val="clear" w:color="auto" w:fill="auto"/>
            <w:tcMar>
              <w:top w:w="15" w:type="dxa"/>
              <w:left w:w="15" w:type="dxa"/>
              <w:right w:w="15" w:type="dxa"/>
            </w:tcMar>
            <w:vAlign w:val="center"/>
          </w:tcPr>
          <w:p w14:paraId="58CC30E4">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auto"/>
                <w:kern w:val="0"/>
                <w:sz w:val="21"/>
                <w:szCs w:val="21"/>
                <w:u w:val="none"/>
                <w:lang w:val="en-US" w:eastAsia="zh-CN" w:bidi="ar-SA"/>
              </w:rPr>
            </w:pPr>
            <w:r>
              <w:rPr>
                <w:rFonts w:hint="eastAsia" w:asciiTheme="majorEastAsia" w:hAnsiTheme="majorEastAsia" w:eastAsiaTheme="majorEastAsia" w:cstheme="majorEastAsia"/>
                <w:b w:val="0"/>
                <w:bCs w:val="0"/>
                <w:color w:val="auto"/>
                <w:kern w:val="0"/>
                <w:sz w:val="21"/>
                <w:szCs w:val="21"/>
                <w:u w:val="none"/>
                <w:lang w:val="en-US" w:eastAsia="zh-CN" w:bidi="ar-SA"/>
              </w:rPr>
              <w:t>0.20</w:t>
            </w:r>
          </w:p>
        </w:tc>
      </w:tr>
      <w:tr w14:paraId="21D17A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14:paraId="5333B01C">
            <w:pPr>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5</w:t>
            </w:r>
          </w:p>
        </w:tc>
        <w:tc>
          <w:tcPr>
            <w:tcW w:w="1126" w:type="pct"/>
            <w:tcBorders>
              <w:tl2br w:val="nil"/>
              <w:tr2bl w:val="nil"/>
            </w:tcBorders>
            <w:shd w:val="clear" w:color="auto" w:fill="auto"/>
            <w:tcMar>
              <w:top w:w="15" w:type="dxa"/>
              <w:left w:w="15" w:type="dxa"/>
              <w:right w:w="15" w:type="dxa"/>
            </w:tcMar>
            <w:vAlign w:val="center"/>
          </w:tcPr>
          <w:p w14:paraId="75E61568">
            <w:pPr>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合计</w:t>
            </w:r>
          </w:p>
        </w:tc>
        <w:tc>
          <w:tcPr>
            <w:tcW w:w="1236" w:type="pct"/>
            <w:tcBorders>
              <w:tl2br w:val="nil"/>
              <w:tr2bl w:val="nil"/>
            </w:tcBorders>
            <w:shd w:val="clear" w:color="auto" w:fill="auto"/>
            <w:tcMar>
              <w:top w:w="15" w:type="dxa"/>
              <w:left w:w="15" w:type="dxa"/>
              <w:right w:w="15" w:type="dxa"/>
            </w:tcMar>
            <w:vAlign w:val="center"/>
          </w:tcPr>
          <w:p w14:paraId="3E3F502F">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289.46</w:t>
            </w:r>
          </w:p>
        </w:tc>
        <w:tc>
          <w:tcPr>
            <w:tcW w:w="1288" w:type="pct"/>
            <w:tcBorders>
              <w:tl2br w:val="nil"/>
              <w:tr2bl w:val="nil"/>
            </w:tcBorders>
            <w:shd w:val="clear" w:color="auto" w:fill="auto"/>
            <w:tcMar>
              <w:top w:w="15" w:type="dxa"/>
              <w:left w:w="15" w:type="dxa"/>
              <w:right w:w="15" w:type="dxa"/>
            </w:tcMar>
            <w:vAlign w:val="center"/>
          </w:tcPr>
          <w:p w14:paraId="2FC957E3">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288.97</w:t>
            </w:r>
          </w:p>
        </w:tc>
        <w:tc>
          <w:tcPr>
            <w:tcW w:w="961" w:type="pct"/>
            <w:tcBorders>
              <w:tl2br w:val="nil"/>
              <w:tr2bl w:val="nil"/>
            </w:tcBorders>
            <w:shd w:val="clear" w:color="auto" w:fill="auto"/>
            <w:tcMar>
              <w:top w:w="15" w:type="dxa"/>
              <w:left w:w="15" w:type="dxa"/>
              <w:right w:w="15" w:type="dxa"/>
            </w:tcMar>
            <w:vAlign w:val="center"/>
          </w:tcPr>
          <w:p w14:paraId="051C5712">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0.49</w:t>
            </w:r>
          </w:p>
        </w:tc>
      </w:tr>
    </w:tbl>
    <w:p w14:paraId="5B92D6D5">
      <w:pPr>
        <w:keepNext w:val="0"/>
        <w:keepLines w:val="0"/>
        <w:pageBreakBefore w:val="0"/>
        <w:widowControl w:val="0"/>
        <w:kinsoku/>
        <w:wordWrap/>
        <w:overflowPunct/>
        <w:topLinePunct w:val="0"/>
        <w:autoSpaceDE/>
        <w:autoSpaceDN/>
        <w:bidi w:val="0"/>
        <w:adjustRightInd/>
        <w:snapToGrid/>
        <w:spacing w:before="240" w:after="240" w:line="400" w:lineRule="exact"/>
        <w:ind w:firstLine="420" w:firstLineChars="200"/>
        <w:jc w:val="both"/>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注：密封点检测数值大于等于0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lang w:bidi="en-US"/>
        </w:rPr>
        <w:t>。</w:t>
      </w:r>
    </w:p>
    <w:p w14:paraId="39E2089B">
      <w:pPr>
        <w:pStyle w:val="4"/>
        <w:numPr>
          <w:ilvl w:val="1"/>
          <w:numId w:val="0"/>
        </w:numPr>
        <w:bidi w:val="0"/>
        <w:ind w:leftChars="0"/>
        <w:rPr>
          <w:rFonts w:hint="eastAsia" w:asciiTheme="majorEastAsia" w:hAnsiTheme="majorEastAsia" w:eastAsiaTheme="majorEastAsia" w:cstheme="majorEastAsia"/>
          <w:lang w:val="en-US" w:eastAsia="zh-CN"/>
        </w:rPr>
      </w:pPr>
      <w:bookmarkStart w:id="91" w:name="_Toc30325"/>
      <w:r>
        <w:rPr>
          <w:rFonts w:hint="eastAsia" w:asciiTheme="majorEastAsia" w:hAnsiTheme="majorEastAsia" w:eastAsiaTheme="majorEastAsia" w:cstheme="majorEastAsia"/>
          <w:lang w:val="en-US" w:eastAsia="zh-CN"/>
        </w:rPr>
        <w:t>4.4开展 LDAR 环境效益分析，实施 LDAR 后的效益</w:t>
      </w:r>
      <w:bookmarkEnd w:id="91"/>
    </w:p>
    <w:p w14:paraId="5F578A91">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LDAR检测的环境效益可以从减少区域环境特征污染物和减少企业物料损耗两方面分析该工作的环境效益和经济效益。</w:t>
      </w:r>
    </w:p>
    <w:p w14:paraId="0F0E1FE8">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提前发现安全隐患，提高工艺安全性和可靠性</w:t>
      </w:r>
    </w:p>
    <w:p w14:paraId="7F6AEAE0">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提前发现设备泄漏，降低维修成本</w:t>
      </w:r>
    </w:p>
    <w:p w14:paraId="7D314997">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降低人群暴露在有害化学品中的风险</w:t>
      </w:r>
    </w:p>
    <w:p w14:paraId="063C6630">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减少空气污染，削减VOCs无组织排放</w:t>
      </w:r>
    </w:p>
    <w:p w14:paraId="58F98322">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降低原料损耗，提高产品收率，获得更多的经济效益</w:t>
      </w:r>
    </w:p>
    <w:p w14:paraId="7C29B2D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LDAR检测工作可以逐步减少设备泄漏点，控制无组织排放，给化工企业直接或间接的带来环境效益和经济效益，削减VOCs无组织排放，减少物料损耗，增加经济收益，减少环境污染，提高大气环境质量。</w:t>
      </w:r>
    </w:p>
    <w:p w14:paraId="43A34CA6">
      <w:pPr>
        <w:rPr>
          <w:rFonts w:hint="eastAsia" w:asciiTheme="majorEastAsia" w:hAnsiTheme="majorEastAsia" w:eastAsiaTheme="majorEastAsia" w:cstheme="majorEastAsia"/>
          <w:sz w:val="21"/>
          <w:szCs w:val="21"/>
          <w:lang w:bidi="en-US"/>
        </w:rPr>
      </w:pPr>
    </w:p>
    <w:p w14:paraId="43062207">
      <w:pPr>
        <w:pStyle w:val="3"/>
        <w:numPr>
          <w:ilvl w:val="0"/>
          <w:numId w:val="0"/>
        </w:numPr>
        <w:bidi w:val="0"/>
        <w:ind w:leftChars="0"/>
        <w:rPr>
          <w:rFonts w:hint="eastAsia" w:asciiTheme="majorEastAsia" w:hAnsiTheme="majorEastAsia" w:eastAsiaTheme="majorEastAsia" w:cstheme="majorEastAsia"/>
          <w:color w:val="auto"/>
          <w:lang w:val="en-US" w:eastAsia="zh-CN"/>
        </w:rPr>
      </w:pPr>
      <w:bookmarkStart w:id="92" w:name="_Toc23996"/>
      <w:bookmarkStart w:id="93" w:name="_Toc27060"/>
      <w:bookmarkStart w:id="94" w:name="_Toc19056"/>
      <w:bookmarkStart w:id="95" w:name="_Toc13433"/>
      <w:bookmarkStart w:id="96" w:name="_Toc13852"/>
      <w:r>
        <w:rPr>
          <w:rFonts w:hint="eastAsia" w:asciiTheme="majorEastAsia" w:hAnsiTheme="majorEastAsia" w:eastAsiaTheme="majorEastAsia" w:cstheme="majorEastAsia"/>
          <w:color w:val="auto"/>
          <w:lang w:val="en-US" w:eastAsia="zh-CN"/>
        </w:rPr>
        <w:t>5</w:t>
      </w:r>
      <w:bookmarkEnd w:id="92"/>
      <w:bookmarkEnd w:id="93"/>
      <w:bookmarkEnd w:id="94"/>
      <w:bookmarkEnd w:id="95"/>
      <w:r>
        <w:rPr>
          <w:rFonts w:hint="eastAsia" w:asciiTheme="majorEastAsia" w:hAnsiTheme="majorEastAsia" w:eastAsiaTheme="majorEastAsia" w:cstheme="majorEastAsia"/>
          <w:color w:val="auto"/>
          <w:lang w:val="en-US" w:eastAsia="zh-CN"/>
        </w:rPr>
        <w:t>.持续LDAR</w:t>
      </w:r>
      <w:bookmarkEnd w:id="96"/>
    </w:p>
    <w:p w14:paraId="49BA052A">
      <w:pPr>
        <w:pStyle w:val="4"/>
        <w:numPr>
          <w:ilvl w:val="1"/>
          <w:numId w:val="0"/>
        </w:numPr>
        <w:bidi w:val="0"/>
        <w:ind w:leftChars="0"/>
        <w:rPr>
          <w:rFonts w:hint="eastAsia" w:asciiTheme="majorEastAsia" w:hAnsiTheme="majorEastAsia" w:eastAsiaTheme="majorEastAsia" w:cstheme="majorEastAsia"/>
          <w:lang w:val="en-US" w:eastAsia="zh-CN"/>
        </w:rPr>
      </w:pPr>
      <w:bookmarkStart w:id="97" w:name="_Toc32211"/>
      <w:r>
        <w:rPr>
          <w:rFonts w:hint="eastAsia" w:asciiTheme="majorEastAsia" w:hAnsiTheme="majorEastAsia" w:eastAsiaTheme="majorEastAsia" w:cstheme="majorEastAsia"/>
          <w:lang w:val="en-US" w:eastAsia="zh-CN"/>
        </w:rPr>
        <w:t>5.1 LDAR环境和经济效益</w:t>
      </w:r>
      <w:bookmarkEnd w:id="97"/>
    </w:p>
    <w:p w14:paraId="331BC73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LDAR检测的环境效益可以从减少区域环境特征污染物和减少企业物料损耗两方面分析该工作的环境效益和经济效益。</w:t>
      </w:r>
    </w:p>
    <w:p w14:paraId="581BB42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1、</w:t>
      </w:r>
      <w:r>
        <w:rPr>
          <w:rFonts w:hint="eastAsia" w:asciiTheme="majorEastAsia" w:hAnsiTheme="majorEastAsia" w:eastAsiaTheme="majorEastAsia" w:cstheme="majorEastAsia"/>
          <w:sz w:val="21"/>
          <w:szCs w:val="21"/>
          <w:lang w:bidi="en-US"/>
        </w:rPr>
        <w:t>提前发现安全隐患，提高工艺安全性和可靠性</w:t>
      </w:r>
    </w:p>
    <w:p w14:paraId="143CC6F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2、</w:t>
      </w:r>
      <w:r>
        <w:rPr>
          <w:rFonts w:hint="eastAsia" w:asciiTheme="majorEastAsia" w:hAnsiTheme="majorEastAsia" w:eastAsiaTheme="majorEastAsia" w:cstheme="majorEastAsia"/>
          <w:sz w:val="21"/>
          <w:szCs w:val="21"/>
          <w:lang w:bidi="en-US"/>
        </w:rPr>
        <w:t>提前发现设备泄漏，降低维修成本</w:t>
      </w:r>
    </w:p>
    <w:p w14:paraId="67CFE4E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3、</w:t>
      </w:r>
      <w:r>
        <w:rPr>
          <w:rFonts w:hint="eastAsia" w:asciiTheme="majorEastAsia" w:hAnsiTheme="majorEastAsia" w:eastAsiaTheme="majorEastAsia" w:cstheme="majorEastAsia"/>
          <w:sz w:val="21"/>
          <w:szCs w:val="21"/>
          <w:lang w:bidi="en-US"/>
        </w:rPr>
        <w:t>降低人群暴露在有害化学品中的风险</w:t>
      </w:r>
    </w:p>
    <w:p w14:paraId="5F934BF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4、</w:t>
      </w:r>
      <w:r>
        <w:rPr>
          <w:rFonts w:hint="eastAsia" w:asciiTheme="majorEastAsia" w:hAnsiTheme="majorEastAsia" w:eastAsiaTheme="majorEastAsia" w:cstheme="majorEastAsia"/>
          <w:sz w:val="21"/>
          <w:szCs w:val="21"/>
          <w:lang w:bidi="en-US"/>
        </w:rPr>
        <w:t>减少空气污染，削减VOCs无组织排放</w:t>
      </w:r>
    </w:p>
    <w:p w14:paraId="3DAAA79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5、</w:t>
      </w:r>
      <w:r>
        <w:rPr>
          <w:rFonts w:hint="eastAsia" w:asciiTheme="majorEastAsia" w:hAnsiTheme="majorEastAsia" w:eastAsiaTheme="majorEastAsia" w:cstheme="majorEastAsia"/>
          <w:sz w:val="21"/>
          <w:szCs w:val="21"/>
          <w:lang w:bidi="en-US"/>
        </w:rPr>
        <w:t>降低原料损耗，提高产品收率，获得更多的经济效益</w:t>
      </w:r>
    </w:p>
    <w:p w14:paraId="7BC67C6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LDAR检测工作可以逐步减少设备泄漏点，控制无组织排放，给化工企业直接或间接的带来环境效益和经济效益，削减VOCs无组织排放，减少物料损耗，增加经济收益，减少环境污染，提高大气环境质量。</w:t>
      </w:r>
    </w:p>
    <w:p w14:paraId="7458AD37">
      <w:pPr>
        <w:pStyle w:val="4"/>
        <w:numPr>
          <w:ilvl w:val="1"/>
          <w:numId w:val="0"/>
        </w:numPr>
        <w:bidi w:val="0"/>
        <w:ind w:leftChars="0"/>
        <w:rPr>
          <w:rFonts w:hint="eastAsia" w:asciiTheme="majorEastAsia" w:hAnsiTheme="majorEastAsia" w:eastAsiaTheme="majorEastAsia" w:cstheme="majorEastAsia"/>
          <w:lang w:val="en-US" w:eastAsia="zh-CN"/>
        </w:rPr>
      </w:pPr>
      <w:bookmarkStart w:id="98" w:name="_Toc1688"/>
      <w:r>
        <w:rPr>
          <w:rFonts w:hint="eastAsia" w:asciiTheme="majorEastAsia" w:hAnsiTheme="majorEastAsia" w:eastAsiaTheme="majorEastAsia" w:cstheme="majorEastAsia"/>
          <w:lang w:val="en-US" w:eastAsia="zh-CN"/>
        </w:rPr>
        <w:t>5.2下季度LDAR工作计划</w:t>
      </w:r>
      <w:bookmarkEnd w:id="98"/>
    </w:p>
    <w:p w14:paraId="4D4339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b w:val="0"/>
          <w:caps w:val="0"/>
          <w:spacing w:val="0"/>
          <w:kern w:val="2"/>
          <w:sz w:val="21"/>
          <w:szCs w:val="21"/>
          <w:lang w:val="en-US" w:eastAsia="zh-CN" w:bidi="en-US"/>
        </w:rPr>
      </w:pPr>
      <w:r>
        <w:rPr>
          <w:rFonts w:hint="eastAsia" w:asciiTheme="majorEastAsia" w:hAnsiTheme="majorEastAsia" w:eastAsiaTheme="majorEastAsia" w:cstheme="majorEastAsia"/>
          <w:b w:val="0"/>
          <w:caps w:val="0"/>
          <w:spacing w:val="0"/>
          <w:kern w:val="2"/>
          <w:sz w:val="21"/>
          <w:szCs w:val="21"/>
          <w:lang w:val="en-US" w:eastAsia="zh-CN" w:bidi="en-US"/>
        </w:rPr>
        <w:t>按照各设备类型检测周期，结合生产情况，安排下季度检测时间。</w:t>
      </w:r>
    </w:p>
    <w:p w14:paraId="522B223E">
      <w:pPr>
        <w:pStyle w:val="6"/>
        <w:rPr>
          <w:rFonts w:hint="eastAsia" w:asciiTheme="majorEastAsia" w:hAnsiTheme="majorEastAsia" w:eastAsiaTheme="majorEastAsia" w:cstheme="majorEastAsia"/>
          <w:b w:val="0"/>
          <w:caps w:val="0"/>
          <w:spacing w:val="0"/>
          <w:kern w:val="2"/>
          <w:sz w:val="21"/>
          <w:szCs w:val="21"/>
          <w:lang w:val="en-US" w:eastAsia="zh-CN" w:bidi="en-US"/>
        </w:rPr>
      </w:pPr>
    </w:p>
    <w:p w14:paraId="6F7FD5C8">
      <w:pPr>
        <w:rPr>
          <w:rFonts w:hint="eastAsia" w:asciiTheme="majorEastAsia" w:hAnsiTheme="majorEastAsia" w:eastAsiaTheme="majorEastAsia" w:cstheme="majorEastAsia"/>
          <w:b w:val="0"/>
          <w:caps w:val="0"/>
          <w:spacing w:val="0"/>
          <w:kern w:val="2"/>
          <w:sz w:val="21"/>
          <w:szCs w:val="21"/>
          <w:lang w:val="en-US" w:eastAsia="zh-CN" w:bidi="en-US"/>
        </w:rPr>
      </w:pPr>
    </w:p>
    <w:p w14:paraId="4D1A9992">
      <w:pPr>
        <w:pStyle w:val="6"/>
        <w:rPr>
          <w:rFonts w:hint="eastAsia" w:asciiTheme="majorEastAsia" w:hAnsiTheme="majorEastAsia" w:eastAsiaTheme="majorEastAsia" w:cstheme="majorEastAsia"/>
          <w:b w:val="0"/>
          <w:caps w:val="0"/>
          <w:spacing w:val="0"/>
          <w:kern w:val="2"/>
          <w:sz w:val="21"/>
          <w:szCs w:val="21"/>
          <w:lang w:val="en-US" w:eastAsia="zh-CN" w:bidi="en-US"/>
        </w:rPr>
      </w:pPr>
    </w:p>
    <w:p w14:paraId="22646649">
      <w:pPr>
        <w:rPr>
          <w:rFonts w:hint="eastAsia" w:asciiTheme="majorEastAsia" w:hAnsiTheme="majorEastAsia" w:eastAsiaTheme="majorEastAsia" w:cstheme="majorEastAsia"/>
          <w:b w:val="0"/>
          <w:caps w:val="0"/>
          <w:spacing w:val="0"/>
          <w:kern w:val="2"/>
          <w:sz w:val="21"/>
          <w:szCs w:val="21"/>
          <w:lang w:val="en-US" w:eastAsia="zh-CN" w:bidi="en-US"/>
        </w:rPr>
      </w:pPr>
    </w:p>
    <w:p w14:paraId="09545E9C">
      <w:pPr>
        <w:pStyle w:val="6"/>
        <w:rPr>
          <w:rFonts w:hint="eastAsia" w:asciiTheme="majorEastAsia" w:hAnsiTheme="majorEastAsia" w:eastAsiaTheme="majorEastAsia" w:cstheme="majorEastAsia"/>
          <w:b w:val="0"/>
          <w:caps w:val="0"/>
          <w:spacing w:val="0"/>
          <w:kern w:val="2"/>
          <w:sz w:val="21"/>
          <w:szCs w:val="21"/>
          <w:lang w:val="en-US" w:eastAsia="zh-CN" w:bidi="en-US"/>
        </w:rPr>
      </w:pPr>
    </w:p>
    <w:p w14:paraId="289D8AF7">
      <w:pPr>
        <w:pStyle w:val="6"/>
        <w:rPr>
          <w:rFonts w:hint="eastAsia" w:asciiTheme="majorEastAsia" w:hAnsiTheme="majorEastAsia" w:eastAsiaTheme="majorEastAsia" w:cstheme="majorEastAsia"/>
          <w:b w:val="0"/>
          <w:caps w:val="0"/>
          <w:spacing w:val="0"/>
          <w:kern w:val="2"/>
          <w:sz w:val="21"/>
          <w:szCs w:val="21"/>
          <w:lang w:val="en-US" w:eastAsia="zh-CN" w:bidi="en-US"/>
        </w:rPr>
      </w:pPr>
    </w:p>
    <w:p w14:paraId="3CDB4120">
      <w:pPr>
        <w:pStyle w:val="6"/>
        <w:rPr>
          <w:rFonts w:hint="eastAsia" w:asciiTheme="majorEastAsia" w:hAnsiTheme="majorEastAsia" w:eastAsiaTheme="majorEastAsia" w:cstheme="majorEastAsia"/>
          <w:b w:val="0"/>
          <w:caps w:val="0"/>
          <w:spacing w:val="0"/>
          <w:kern w:val="2"/>
          <w:sz w:val="21"/>
          <w:szCs w:val="21"/>
          <w:lang w:val="en-US" w:eastAsia="zh-CN" w:bidi="en-US"/>
        </w:rPr>
      </w:pPr>
    </w:p>
    <w:p w14:paraId="57F075F1">
      <w:pPr>
        <w:pStyle w:val="6"/>
        <w:rPr>
          <w:rFonts w:hint="eastAsia" w:asciiTheme="majorEastAsia" w:hAnsiTheme="majorEastAsia" w:eastAsiaTheme="majorEastAsia" w:cstheme="majorEastAsia"/>
          <w:b w:val="0"/>
          <w:caps w:val="0"/>
          <w:spacing w:val="0"/>
          <w:kern w:val="2"/>
          <w:sz w:val="21"/>
          <w:szCs w:val="21"/>
          <w:lang w:val="en-US" w:eastAsia="zh-CN" w:bidi="en-US"/>
        </w:rPr>
      </w:pPr>
    </w:p>
    <w:p w14:paraId="1B9B9145">
      <w:pPr>
        <w:spacing w:before="24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****以下为</w:t>
      </w:r>
      <w:r>
        <w:rPr>
          <w:rFonts w:hint="eastAsia" w:asciiTheme="majorEastAsia" w:hAnsiTheme="majorEastAsia" w:eastAsiaTheme="majorEastAsia" w:cstheme="majorEastAsia"/>
          <w:sz w:val="21"/>
          <w:szCs w:val="21"/>
          <w:lang w:val="en-US" w:eastAsia="zh-CN"/>
        </w:rPr>
        <w:t>LDAR普查表</w:t>
      </w:r>
      <w:r>
        <w:rPr>
          <w:rFonts w:hint="eastAsia" w:asciiTheme="majorEastAsia" w:hAnsiTheme="majorEastAsia" w:eastAsiaTheme="majorEastAsia" w:cstheme="majorEastAsia"/>
          <w:sz w:val="21"/>
          <w:szCs w:val="21"/>
        </w:rPr>
        <w:t>附表****</w:t>
      </w:r>
    </w:p>
    <w:p w14:paraId="5EDA4C35">
      <w:pPr>
        <w:pStyle w:val="6"/>
        <w:rPr>
          <w:rFonts w:hint="eastAsia" w:asciiTheme="majorEastAsia" w:hAnsiTheme="majorEastAsia" w:eastAsiaTheme="majorEastAsia" w:cstheme="majorEastAsia"/>
          <w:lang w:eastAsia="zh-CN"/>
        </w:rPr>
        <w:sectPr>
          <w:pgSz w:w="11906" w:h="16838"/>
          <w:pgMar w:top="1418"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14:paraId="32717648">
      <w:pPr>
        <w:pStyle w:val="3"/>
        <w:numPr>
          <w:ilvl w:val="0"/>
          <w:numId w:val="0"/>
        </w:numPr>
        <w:spacing w:before="240"/>
        <w:ind w:left="432" w:hanging="432"/>
        <w:jc w:val="left"/>
        <w:rPr>
          <w:rFonts w:hint="eastAsia" w:asciiTheme="majorEastAsia" w:hAnsiTheme="majorEastAsia" w:eastAsiaTheme="majorEastAsia" w:cstheme="majorEastAsia"/>
          <w:color w:val="auto"/>
        </w:rPr>
      </w:pPr>
      <w:bookmarkStart w:id="99" w:name="_Toc3471"/>
      <w:bookmarkStart w:id="100" w:name="_Toc1288"/>
      <w:bookmarkStart w:id="101" w:name="_Toc23871"/>
      <w:bookmarkStart w:id="102" w:name="_Toc5857"/>
      <w:bookmarkStart w:id="103" w:name="_Toc31900"/>
      <w:bookmarkStart w:id="104" w:name="_Toc25776"/>
      <w:bookmarkStart w:id="105" w:name="_Toc12472"/>
      <w:r>
        <w:rPr>
          <w:rFonts w:hint="eastAsia" w:asciiTheme="majorEastAsia" w:hAnsiTheme="majorEastAsia" w:eastAsiaTheme="majorEastAsia" w:cstheme="majorEastAsia"/>
          <w:color w:val="auto"/>
        </w:rPr>
        <w:t>附表</w:t>
      </w:r>
      <w:r>
        <w:rPr>
          <w:rFonts w:hint="eastAsia" w:asciiTheme="majorEastAsia" w:hAnsiTheme="majorEastAsia" w:eastAsiaTheme="majorEastAsia" w:cstheme="majorEastAsia"/>
          <w:color w:val="auto"/>
          <w:lang w:val="en-US" w:eastAsia="zh-CN"/>
        </w:rPr>
        <w:t>6</w:t>
      </w:r>
      <w:r>
        <w:rPr>
          <w:rFonts w:hint="eastAsia" w:asciiTheme="majorEastAsia" w:hAnsiTheme="majorEastAsia" w:eastAsiaTheme="majorEastAsia" w:cstheme="majorEastAsia"/>
          <w:color w:val="auto"/>
        </w:rPr>
        <w:t>.</w:t>
      </w:r>
      <w:r>
        <w:rPr>
          <w:rFonts w:hint="eastAsia" w:asciiTheme="majorEastAsia" w:hAnsiTheme="majorEastAsia" w:eastAsiaTheme="majorEastAsia" w:cstheme="majorEastAsia"/>
          <w:b/>
          <w:bCs/>
          <w:caps w:val="0"/>
          <w:color w:val="auto"/>
          <w:spacing w:val="0"/>
          <w:kern w:val="2"/>
          <w:sz w:val="28"/>
          <w:szCs w:val="28"/>
          <w:lang w:val="en-US" w:eastAsia="zh-CN" w:bidi="en-US"/>
        </w:rPr>
        <w:t xml:space="preserve"> 山东万达化工有限公司2024年第三季度LDAR汇总表</w:t>
      </w:r>
      <w:bookmarkEnd w:id="99"/>
      <w:bookmarkEnd w:id="100"/>
      <w:bookmarkEnd w:id="101"/>
      <w:bookmarkEnd w:id="102"/>
      <w:bookmarkEnd w:id="103"/>
      <w:bookmarkEnd w:id="104"/>
      <w:bookmarkEnd w:id="105"/>
    </w:p>
    <w:p w14:paraId="63B62161">
      <w:pPr>
        <w:jc w:val="right"/>
        <w:rPr>
          <w:rFonts w:hint="eastAsia" w:asciiTheme="majorEastAsia" w:hAnsiTheme="majorEastAsia" w:eastAsiaTheme="majorEastAsia" w:cstheme="majorEastAsia"/>
          <w:color w:val="000000"/>
        </w:rPr>
      </w:pPr>
      <w:r>
        <w:rPr>
          <w:rFonts w:hint="eastAsia" w:asciiTheme="majorEastAsia" w:hAnsiTheme="majorEastAsia" w:eastAsiaTheme="majorEastAsia" w:cstheme="majorEastAsia"/>
          <w:color w:val="000000"/>
          <w:lang w:val="en-US" w:eastAsia="zh-CN"/>
        </w:rPr>
        <w:t xml:space="preserve">   填表日期：2024年09月23日</w:t>
      </w:r>
      <w:r>
        <w:rPr>
          <w:rFonts w:hint="eastAsia" w:asciiTheme="majorEastAsia" w:hAnsiTheme="majorEastAsia" w:eastAsiaTheme="majorEastAsia" w:cstheme="majorEastAsia"/>
          <w:color w:val="000000"/>
        </w:rPr>
        <w:t xml:space="preserve"> </w:t>
      </w:r>
    </w:p>
    <w:tbl>
      <w:tblPr>
        <w:tblStyle w:val="13"/>
        <w:tblW w:w="95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034"/>
        <w:gridCol w:w="1029"/>
        <w:gridCol w:w="2"/>
        <w:gridCol w:w="2204"/>
        <w:gridCol w:w="933"/>
        <w:gridCol w:w="992"/>
        <w:gridCol w:w="2140"/>
      </w:tblGrid>
      <w:tr w14:paraId="198494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tcBorders>
              <w:top w:val="single" w:color="auto" w:sz="12" w:space="0"/>
            </w:tcBorders>
            <w:noWrap/>
            <w:vAlign w:val="center"/>
          </w:tcPr>
          <w:p w14:paraId="6C3B98BE">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基本信息</w:t>
            </w:r>
          </w:p>
        </w:tc>
        <w:tc>
          <w:tcPr>
            <w:tcW w:w="2065" w:type="dxa"/>
            <w:gridSpan w:val="3"/>
            <w:tcBorders>
              <w:top w:val="single" w:color="auto" w:sz="12" w:space="0"/>
            </w:tcBorders>
            <w:noWrap/>
            <w:vAlign w:val="center"/>
          </w:tcPr>
          <w:p w14:paraId="78631CFD">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企业名称</w:t>
            </w:r>
          </w:p>
        </w:tc>
        <w:tc>
          <w:tcPr>
            <w:tcW w:w="6269" w:type="dxa"/>
            <w:gridSpan w:val="4"/>
            <w:tcBorders>
              <w:top w:val="single" w:color="auto" w:sz="12" w:space="0"/>
            </w:tcBorders>
            <w:noWrap/>
            <w:vAlign w:val="center"/>
          </w:tcPr>
          <w:p w14:paraId="5BFE8881">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b w:val="0"/>
                <w:bCs w:val="0"/>
                <w:sz w:val="21"/>
                <w:szCs w:val="21"/>
                <w:u w:val="none"/>
                <w:lang w:val="en-US" w:eastAsia="zh-CN"/>
              </w:rPr>
              <w:t>山东万达化工有限公司</w:t>
            </w:r>
          </w:p>
        </w:tc>
      </w:tr>
      <w:tr w14:paraId="5EF163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10891DF2">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14:paraId="0B4BC393">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LDAR主管部门</w:t>
            </w:r>
          </w:p>
        </w:tc>
        <w:tc>
          <w:tcPr>
            <w:tcW w:w="6269" w:type="dxa"/>
            <w:gridSpan w:val="4"/>
            <w:noWrap/>
            <w:vAlign w:val="center"/>
          </w:tcPr>
          <w:p w14:paraId="19A0D004">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安环部</w:t>
            </w:r>
          </w:p>
        </w:tc>
      </w:tr>
      <w:tr w14:paraId="538B05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73EBB4F4">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14:paraId="48D18952">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联系人</w:t>
            </w:r>
          </w:p>
        </w:tc>
        <w:tc>
          <w:tcPr>
            <w:tcW w:w="2204" w:type="dxa"/>
            <w:noWrap/>
            <w:vAlign w:val="center"/>
          </w:tcPr>
          <w:p w14:paraId="59E485E2">
            <w:pPr>
              <w:pStyle w:val="27"/>
              <w:ind w:firstLine="0" w:firstLineChars="0"/>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kern w:val="0"/>
                <w:sz w:val="21"/>
                <w:szCs w:val="21"/>
                <w:lang w:val="en-US" w:eastAsia="zh-CN" w:bidi="ar-SA"/>
              </w:rPr>
              <w:t>韩经理</w:t>
            </w:r>
          </w:p>
        </w:tc>
        <w:tc>
          <w:tcPr>
            <w:tcW w:w="1925" w:type="dxa"/>
            <w:gridSpan w:val="2"/>
            <w:noWrap/>
            <w:vAlign w:val="center"/>
          </w:tcPr>
          <w:p w14:paraId="2A1A905A">
            <w:pPr>
              <w:pStyle w:val="27"/>
              <w:ind w:firstLine="0" w:firstLineChars="0"/>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电话</w:t>
            </w:r>
          </w:p>
        </w:tc>
        <w:tc>
          <w:tcPr>
            <w:tcW w:w="2140" w:type="dxa"/>
            <w:noWrap/>
            <w:vAlign w:val="center"/>
          </w:tcPr>
          <w:p w14:paraId="413BC3A2">
            <w:pPr>
              <w:pStyle w:val="27"/>
              <w:ind w:firstLine="0" w:firstLineChars="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kern w:val="0"/>
                <w:sz w:val="21"/>
                <w:szCs w:val="21"/>
                <w:lang w:val="en-US" w:eastAsia="zh-CN" w:bidi="ar-SA"/>
              </w:rPr>
              <w:t>15266058121</w:t>
            </w:r>
          </w:p>
        </w:tc>
      </w:tr>
      <w:tr w14:paraId="7615A5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1234" w:type="dxa"/>
            <w:vMerge w:val="continue"/>
            <w:noWrap/>
            <w:vAlign w:val="center"/>
          </w:tcPr>
          <w:p w14:paraId="7C5572A9">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14:paraId="42E419BB">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邮箱</w:t>
            </w:r>
          </w:p>
        </w:tc>
        <w:tc>
          <w:tcPr>
            <w:tcW w:w="6269" w:type="dxa"/>
            <w:gridSpan w:val="4"/>
            <w:noWrap/>
            <w:vAlign w:val="center"/>
          </w:tcPr>
          <w:p w14:paraId="11BCC37B">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w:t>
            </w:r>
          </w:p>
        </w:tc>
      </w:tr>
      <w:tr w14:paraId="06ED94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noWrap/>
            <w:vAlign w:val="center"/>
          </w:tcPr>
          <w:p w14:paraId="5E439AC6">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完成时间</w:t>
            </w:r>
          </w:p>
        </w:tc>
        <w:tc>
          <w:tcPr>
            <w:tcW w:w="8334" w:type="dxa"/>
            <w:gridSpan w:val="7"/>
            <w:noWrap/>
            <w:vAlign w:val="center"/>
          </w:tcPr>
          <w:p w14:paraId="1D951342">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lang w:eastAsia="zh-CN"/>
              </w:rPr>
              <w:t>2024年0</w:t>
            </w:r>
            <w:r>
              <w:rPr>
                <w:rFonts w:hint="eastAsia" w:asciiTheme="majorEastAsia" w:hAnsiTheme="majorEastAsia" w:eastAsiaTheme="majorEastAsia" w:cstheme="majorEastAsia"/>
                <w:color w:val="000000"/>
                <w:sz w:val="21"/>
                <w:szCs w:val="21"/>
                <w:lang w:val="en-US" w:eastAsia="zh-CN"/>
              </w:rPr>
              <w:t>9</w:t>
            </w:r>
            <w:r>
              <w:rPr>
                <w:rFonts w:hint="eastAsia" w:asciiTheme="majorEastAsia" w:hAnsiTheme="majorEastAsia" w:eastAsiaTheme="majorEastAsia" w:cstheme="majorEastAsia"/>
                <w:color w:val="000000"/>
                <w:sz w:val="21"/>
                <w:szCs w:val="21"/>
                <w:lang w:eastAsia="zh-CN"/>
              </w:rPr>
              <w:t>月</w:t>
            </w:r>
            <w:r>
              <w:rPr>
                <w:rFonts w:hint="eastAsia" w:asciiTheme="majorEastAsia" w:hAnsiTheme="majorEastAsia" w:eastAsiaTheme="majorEastAsia" w:cstheme="majorEastAsia"/>
                <w:color w:val="000000"/>
                <w:sz w:val="21"/>
                <w:szCs w:val="21"/>
                <w:lang w:val="en-US" w:eastAsia="zh-CN"/>
              </w:rPr>
              <w:t>21</w:t>
            </w:r>
            <w:r>
              <w:rPr>
                <w:rFonts w:hint="eastAsia" w:asciiTheme="majorEastAsia" w:hAnsiTheme="majorEastAsia" w:eastAsiaTheme="majorEastAsia" w:cstheme="majorEastAsia"/>
                <w:color w:val="000000"/>
                <w:sz w:val="21"/>
                <w:szCs w:val="21"/>
                <w:lang w:eastAsia="zh-CN"/>
              </w:rPr>
              <w:t>日</w:t>
            </w:r>
          </w:p>
        </w:tc>
      </w:tr>
      <w:tr w14:paraId="30332A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noWrap/>
            <w:vAlign w:val="center"/>
          </w:tcPr>
          <w:p w14:paraId="3789D928">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项目建立</w:t>
            </w:r>
          </w:p>
        </w:tc>
        <w:tc>
          <w:tcPr>
            <w:tcW w:w="1034" w:type="dxa"/>
            <w:noWrap/>
            <w:vAlign w:val="center"/>
          </w:tcPr>
          <w:p w14:paraId="2C52E136">
            <w:pPr>
              <w:pStyle w:val="23"/>
              <w:ind w:firstLine="210" w:firstLineChars="100"/>
              <w:jc w:val="center"/>
              <w:rPr>
                <w:rFonts w:hint="eastAsia" w:asciiTheme="majorEastAsia" w:hAnsiTheme="majorEastAsia" w:eastAsiaTheme="majorEastAsia" w:cstheme="majorEastAsia"/>
                <w:color w:val="000000"/>
                <w:kern w:val="16"/>
                <w:sz w:val="21"/>
                <w:szCs w:val="21"/>
                <w:lang w:val="en-US" w:eastAsia="zh-CN"/>
              </w:rPr>
            </w:pPr>
            <w:r>
              <w:rPr>
                <w:rFonts w:hint="eastAsia" w:asciiTheme="majorEastAsia" w:hAnsiTheme="majorEastAsia" w:eastAsiaTheme="majorEastAsia" w:cstheme="majorEastAsia"/>
                <w:color w:val="000000"/>
                <w:kern w:val="16"/>
                <w:sz w:val="21"/>
                <w:szCs w:val="21"/>
                <w:lang w:val="en-US" w:eastAsia="zh-CN"/>
              </w:rPr>
              <w:t>序号</w:t>
            </w:r>
          </w:p>
        </w:tc>
        <w:tc>
          <w:tcPr>
            <w:tcW w:w="3235" w:type="dxa"/>
            <w:gridSpan w:val="3"/>
            <w:noWrap/>
            <w:vAlign w:val="center"/>
          </w:tcPr>
          <w:p w14:paraId="56679ABB">
            <w:pPr>
              <w:pStyle w:val="23"/>
              <w:ind w:firstLine="210" w:firstLineChars="10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装置名称</w:t>
            </w:r>
          </w:p>
        </w:tc>
        <w:tc>
          <w:tcPr>
            <w:tcW w:w="1925" w:type="dxa"/>
            <w:gridSpan w:val="2"/>
            <w:noWrap/>
            <w:vAlign w:val="center"/>
          </w:tcPr>
          <w:p w14:paraId="6409EC97">
            <w:pPr>
              <w:pStyle w:val="23"/>
              <w:ind w:firstLine="210" w:firstLineChars="10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受控密封点数</w:t>
            </w:r>
          </w:p>
        </w:tc>
        <w:tc>
          <w:tcPr>
            <w:tcW w:w="2140" w:type="dxa"/>
            <w:noWrap/>
            <w:vAlign w:val="center"/>
          </w:tcPr>
          <w:p w14:paraId="1BBFCF46">
            <w:pPr>
              <w:pStyle w:val="23"/>
              <w:ind w:firstLine="210" w:firstLineChars="100"/>
              <w:jc w:val="center"/>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val="en-US" w:eastAsia="zh-CN"/>
              </w:rPr>
              <w:t>不可达密封点数</w:t>
            </w:r>
          </w:p>
        </w:tc>
      </w:tr>
      <w:tr w14:paraId="3D3D99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234" w:type="dxa"/>
            <w:vMerge w:val="continue"/>
            <w:noWrap/>
            <w:vAlign w:val="center"/>
          </w:tcPr>
          <w:p w14:paraId="301B85A0">
            <w:pPr>
              <w:pStyle w:val="23"/>
              <w:ind w:firstLine="210" w:firstLineChars="100"/>
              <w:jc w:val="both"/>
              <w:rPr>
                <w:rFonts w:hint="eastAsia" w:asciiTheme="majorEastAsia" w:hAnsiTheme="majorEastAsia" w:eastAsiaTheme="majorEastAsia" w:cstheme="majorEastAsia"/>
                <w:sz w:val="21"/>
                <w:szCs w:val="21"/>
              </w:rPr>
            </w:pPr>
          </w:p>
        </w:tc>
        <w:tc>
          <w:tcPr>
            <w:tcW w:w="1034" w:type="dxa"/>
            <w:noWrap/>
            <w:vAlign w:val="center"/>
          </w:tcPr>
          <w:p w14:paraId="4A0CACD5">
            <w:pPr>
              <w:ind w:firstLine="0" w:firstLineChars="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bCs/>
                <w:sz w:val="21"/>
                <w:szCs w:val="21"/>
                <w:lang w:val="en-US" w:eastAsia="zh-CN"/>
              </w:rPr>
              <w:t>1</w:t>
            </w:r>
          </w:p>
        </w:tc>
        <w:tc>
          <w:tcPr>
            <w:tcW w:w="3235" w:type="dxa"/>
            <w:gridSpan w:val="3"/>
            <w:noWrap/>
            <w:vAlign w:val="center"/>
          </w:tcPr>
          <w:p w14:paraId="72F4B84C">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000000"/>
                <w:kern w:val="16"/>
                <w:sz w:val="21"/>
                <w:szCs w:val="21"/>
                <w:lang w:val="en-US" w:eastAsia="zh-CN"/>
              </w:rPr>
            </w:pPr>
            <w:r>
              <w:rPr>
                <w:rFonts w:hint="eastAsia" w:asciiTheme="majorEastAsia" w:hAnsiTheme="majorEastAsia" w:eastAsiaTheme="majorEastAsia" w:cstheme="majorEastAsia"/>
                <w:sz w:val="21"/>
                <w:szCs w:val="21"/>
                <w:lang w:val="en-US" w:eastAsia="zh-CN"/>
              </w:rPr>
              <w:t>ODA一装置</w:t>
            </w:r>
          </w:p>
        </w:tc>
        <w:tc>
          <w:tcPr>
            <w:tcW w:w="1925" w:type="dxa"/>
            <w:gridSpan w:val="2"/>
            <w:noWrap/>
            <w:vAlign w:val="center"/>
          </w:tcPr>
          <w:p w14:paraId="3D24F193">
            <w:pPr>
              <w:pStyle w:val="26"/>
              <w:ind w:firstLine="0" w:firstLineChars="0"/>
              <w:rPr>
                <w:rFonts w:hint="eastAsia" w:asciiTheme="majorEastAsia" w:hAnsiTheme="majorEastAsia" w:eastAsiaTheme="majorEastAsia" w:cstheme="majorEastAsia"/>
                <w:bCs/>
                <w:sz w:val="21"/>
                <w:szCs w:val="21"/>
                <w:lang w:val="en-US" w:eastAsia="zh-CN" w:bidi="ar-SA"/>
              </w:rPr>
            </w:pPr>
            <w:r>
              <w:rPr>
                <w:rFonts w:hint="eastAsia" w:asciiTheme="minorEastAsia" w:hAnsiTheme="minorEastAsia" w:eastAsiaTheme="minorEastAsia" w:cstheme="minorEastAsia"/>
                <w:bCs/>
                <w:sz w:val="21"/>
                <w:szCs w:val="21"/>
                <w:lang w:val="en-US" w:eastAsia="zh-CN"/>
              </w:rPr>
              <w:t>373</w:t>
            </w:r>
          </w:p>
        </w:tc>
        <w:tc>
          <w:tcPr>
            <w:tcW w:w="2140" w:type="dxa"/>
            <w:noWrap/>
            <w:vAlign w:val="center"/>
          </w:tcPr>
          <w:p w14:paraId="36767C5B">
            <w:pPr>
              <w:ind w:firstLine="0" w:firstLineChars="0"/>
              <w:jc w:val="center"/>
              <w:rPr>
                <w:rFonts w:hint="eastAsia" w:asciiTheme="majorEastAsia" w:hAnsiTheme="majorEastAsia" w:eastAsiaTheme="majorEastAsia" w:cstheme="majorEastAsia"/>
                <w:sz w:val="22"/>
                <w:szCs w:val="22"/>
                <w:lang w:val="en-US" w:eastAsia="zh-CN" w:bidi="ar-SA"/>
              </w:rPr>
            </w:pPr>
            <w:r>
              <w:rPr>
                <w:rFonts w:hint="eastAsia" w:asciiTheme="minorEastAsia" w:hAnsiTheme="minorEastAsia" w:eastAsiaTheme="minorEastAsia" w:cstheme="minorEastAsia"/>
                <w:bCs/>
                <w:sz w:val="21"/>
                <w:szCs w:val="21"/>
                <w:lang w:val="en-US" w:eastAsia="zh-CN"/>
              </w:rPr>
              <w:t>0</w:t>
            </w:r>
          </w:p>
        </w:tc>
      </w:tr>
      <w:tr w14:paraId="104A75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234" w:type="dxa"/>
            <w:vMerge w:val="continue"/>
            <w:noWrap/>
            <w:vAlign w:val="center"/>
          </w:tcPr>
          <w:p w14:paraId="22EBE02F">
            <w:pPr>
              <w:pStyle w:val="23"/>
              <w:ind w:firstLine="210" w:firstLineChars="100"/>
              <w:jc w:val="both"/>
              <w:rPr>
                <w:rFonts w:hint="eastAsia" w:asciiTheme="majorEastAsia" w:hAnsiTheme="majorEastAsia" w:eastAsiaTheme="majorEastAsia" w:cstheme="majorEastAsia"/>
                <w:sz w:val="21"/>
                <w:szCs w:val="21"/>
              </w:rPr>
            </w:pPr>
          </w:p>
        </w:tc>
        <w:tc>
          <w:tcPr>
            <w:tcW w:w="1034" w:type="dxa"/>
            <w:noWrap/>
            <w:vAlign w:val="center"/>
          </w:tcPr>
          <w:p w14:paraId="5DA421DB">
            <w:pPr>
              <w:ind w:firstLine="0" w:firstLineChars="0"/>
              <w:jc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bCs/>
                <w:sz w:val="21"/>
                <w:szCs w:val="21"/>
                <w:lang w:val="en-US" w:eastAsia="zh-CN"/>
              </w:rPr>
              <w:t>2</w:t>
            </w:r>
          </w:p>
        </w:tc>
        <w:tc>
          <w:tcPr>
            <w:tcW w:w="3235" w:type="dxa"/>
            <w:gridSpan w:val="3"/>
            <w:noWrap/>
            <w:vAlign w:val="center"/>
          </w:tcPr>
          <w:p w14:paraId="640B5EEC">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ODA二装置</w:t>
            </w:r>
          </w:p>
        </w:tc>
        <w:tc>
          <w:tcPr>
            <w:tcW w:w="1925" w:type="dxa"/>
            <w:gridSpan w:val="2"/>
            <w:noWrap/>
            <w:vAlign w:val="center"/>
          </w:tcPr>
          <w:p w14:paraId="638A33C4">
            <w:pPr>
              <w:pStyle w:val="26"/>
              <w:ind w:firstLine="0" w:firstLineChars="0"/>
              <w:rPr>
                <w:rFonts w:hint="eastAsia" w:asciiTheme="majorEastAsia" w:hAnsiTheme="majorEastAsia" w:eastAsiaTheme="majorEastAsia" w:cstheme="majorEastAsia"/>
                <w:bCs/>
                <w:color w:val="auto"/>
                <w:sz w:val="21"/>
                <w:szCs w:val="21"/>
                <w:lang w:val="en-US" w:eastAsia="zh-CN" w:bidi="ar-SA"/>
              </w:rPr>
            </w:pPr>
            <w:r>
              <w:rPr>
                <w:rFonts w:hint="eastAsia" w:asciiTheme="minorEastAsia" w:hAnsiTheme="minorEastAsia" w:eastAsiaTheme="minorEastAsia" w:cstheme="minorEastAsia"/>
                <w:bCs/>
                <w:color w:val="auto"/>
                <w:sz w:val="21"/>
                <w:szCs w:val="21"/>
                <w:lang w:val="en-US" w:eastAsia="zh-CN"/>
              </w:rPr>
              <w:t>851</w:t>
            </w:r>
          </w:p>
        </w:tc>
        <w:tc>
          <w:tcPr>
            <w:tcW w:w="2140" w:type="dxa"/>
            <w:noWrap/>
            <w:vAlign w:val="center"/>
          </w:tcPr>
          <w:p w14:paraId="78FDC112">
            <w:pPr>
              <w:ind w:firstLine="0" w:firstLineChars="0"/>
              <w:jc w:val="center"/>
              <w:rPr>
                <w:rFonts w:hint="eastAsia" w:asciiTheme="majorEastAsia" w:hAnsiTheme="majorEastAsia" w:eastAsiaTheme="majorEastAsia" w:cstheme="majorEastAsia"/>
                <w:sz w:val="22"/>
                <w:szCs w:val="22"/>
                <w:lang w:val="en-US" w:eastAsia="zh-CN" w:bidi="ar-SA"/>
              </w:rPr>
            </w:pPr>
            <w:r>
              <w:rPr>
                <w:rFonts w:hint="eastAsia" w:asciiTheme="minorEastAsia" w:hAnsiTheme="minorEastAsia" w:eastAsiaTheme="minorEastAsia" w:cstheme="minorEastAsia"/>
                <w:bCs/>
                <w:color w:val="auto"/>
                <w:sz w:val="21"/>
                <w:szCs w:val="21"/>
                <w:lang w:val="en-US" w:eastAsia="zh-CN"/>
              </w:rPr>
              <w:t>31</w:t>
            </w:r>
          </w:p>
        </w:tc>
      </w:tr>
      <w:tr w14:paraId="06443D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234" w:type="dxa"/>
            <w:vMerge w:val="continue"/>
            <w:noWrap/>
            <w:vAlign w:val="center"/>
          </w:tcPr>
          <w:p w14:paraId="11C24551">
            <w:pPr>
              <w:pStyle w:val="23"/>
              <w:ind w:firstLine="210" w:firstLineChars="100"/>
              <w:jc w:val="both"/>
              <w:rPr>
                <w:rFonts w:hint="eastAsia" w:asciiTheme="majorEastAsia" w:hAnsiTheme="majorEastAsia" w:eastAsiaTheme="majorEastAsia" w:cstheme="majorEastAsia"/>
                <w:sz w:val="21"/>
                <w:szCs w:val="21"/>
              </w:rPr>
            </w:pPr>
          </w:p>
        </w:tc>
        <w:tc>
          <w:tcPr>
            <w:tcW w:w="1034" w:type="dxa"/>
            <w:noWrap/>
            <w:vAlign w:val="center"/>
          </w:tcPr>
          <w:p w14:paraId="205F2B7D">
            <w:pPr>
              <w:ind w:firstLine="0" w:firstLineChars="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bCs/>
                <w:sz w:val="21"/>
                <w:szCs w:val="21"/>
                <w:lang w:val="en-US" w:eastAsia="zh-CN"/>
              </w:rPr>
              <w:t>3</w:t>
            </w:r>
          </w:p>
        </w:tc>
        <w:tc>
          <w:tcPr>
            <w:tcW w:w="3235" w:type="dxa"/>
            <w:gridSpan w:val="3"/>
            <w:noWrap/>
            <w:vAlign w:val="center"/>
          </w:tcPr>
          <w:p w14:paraId="1E5A1065">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储运装置</w:t>
            </w:r>
          </w:p>
        </w:tc>
        <w:tc>
          <w:tcPr>
            <w:tcW w:w="1925" w:type="dxa"/>
            <w:gridSpan w:val="2"/>
            <w:noWrap/>
            <w:vAlign w:val="center"/>
          </w:tcPr>
          <w:p w14:paraId="1A0E1C66">
            <w:pPr>
              <w:pStyle w:val="26"/>
              <w:ind w:firstLine="0" w:firstLineChars="0"/>
              <w:rPr>
                <w:rFonts w:hint="eastAsia" w:asciiTheme="majorEastAsia" w:hAnsiTheme="majorEastAsia" w:eastAsiaTheme="majorEastAsia" w:cstheme="majorEastAsia"/>
                <w:bCs/>
                <w:sz w:val="21"/>
                <w:szCs w:val="21"/>
                <w:lang w:val="en-US" w:eastAsia="zh-CN"/>
              </w:rPr>
            </w:pPr>
            <w:r>
              <w:rPr>
                <w:rFonts w:hint="eastAsia" w:asciiTheme="minorEastAsia" w:hAnsiTheme="minorEastAsia" w:eastAsiaTheme="minorEastAsia" w:cstheme="minorEastAsia"/>
                <w:bCs/>
                <w:color w:val="auto"/>
                <w:sz w:val="21"/>
                <w:szCs w:val="21"/>
                <w:lang w:val="en-US" w:eastAsia="zh-CN"/>
              </w:rPr>
              <w:t>394</w:t>
            </w:r>
          </w:p>
        </w:tc>
        <w:tc>
          <w:tcPr>
            <w:tcW w:w="2140" w:type="dxa"/>
            <w:noWrap/>
            <w:vAlign w:val="center"/>
          </w:tcPr>
          <w:p w14:paraId="3979AEB2">
            <w:pPr>
              <w:ind w:firstLine="0" w:firstLineChars="0"/>
              <w:jc w:val="center"/>
              <w:rPr>
                <w:rFonts w:hint="eastAsia" w:asciiTheme="majorEastAsia" w:hAnsiTheme="majorEastAsia" w:eastAsiaTheme="majorEastAsia" w:cstheme="majorEastAsia"/>
                <w:sz w:val="24"/>
                <w:szCs w:val="22"/>
                <w:lang w:val="en-US" w:eastAsia="zh-CN" w:bidi="ar-SA"/>
              </w:rPr>
            </w:pPr>
            <w:r>
              <w:rPr>
                <w:rFonts w:hint="eastAsia" w:asciiTheme="minorEastAsia" w:hAnsiTheme="minorEastAsia" w:eastAsiaTheme="minorEastAsia" w:cstheme="minorEastAsia"/>
                <w:bCs/>
                <w:color w:val="auto"/>
                <w:sz w:val="21"/>
                <w:szCs w:val="21"/>
                <w:lang w:val="en-US" w:eastAsia="zh-CN"/>
              </w:rPr>
              <w:t>37</w:t>
            </w:r>
          </w:p>
        </w:tc>
      </w:tr>
      <w:tr w14:paraId="5541D6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234" w:type="dxa"/>
            <w:vMerge w:val="continue"/>
            <w:noWrap/>
            <w:vAlign w:val="center"/>
          </w:tcPr>
          <w:p w14:paraId="4F658720">
            <w:pPr>
              <w:pStyle w:val="23"/>
              <w:ind w:firstLine="210" w:firstLineChars="100"/>
              <w:jc w:val="both"/>
              <w:rPr>
                <w:rFonts w:hint="eastAsia" w:asciiTheme="majorEastAsia" w:hAnsiTheme="majorEastAsia" w:eastAsiaTheme="majorEastAsia" w:cstheme="majorEastAsia"/>
                <w:sz w:val="21"/>
                <w:szCs w:val="21"/>
              </w:rPr>
            </w:pPr>
          </w:p>
        </w:tc>
        <w:tc>
          <w:tcPr>
            <w:tcW w:w="1034" w:type="dxa"/>
            <w:noWrap/>
            <w:vAlign w:val="center"/>
          </w:tcPr>
          <w:p w14:paraId="628C4442">
            <w:pPr>
              <w:ind w:firstLine="0" w:firstLineChars="0"/>
              <w:jc w:val="center"/>
              <w:rPr>
                <w:rFonts w:hint="default"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bCs/>
                <w:sz w:val="21"/>
                <w:szCs w:val="21"/>
                <w:lang w:val="en-US" w:eastAsia="zh-CN"/>
              </w:rPr>
              <w:t>4</w:t>
            </w:r>
          </w:p>
        </w:tc>
        <w:tc>
          <w:tcPr>
            <w:tcW w:w="3235" w:type="dxa"/>
            <w:gridSpan w:val="3"/>
            <w:noWrap/>
            <w:vAlign w:val="center"/>
          </w:tcPr>
          <w:p w14:paraId="76A3B293">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新材料一装置</w:t>
            </w:r>
          </w:p>
        </w:tc>
        <w:tc>
          <w:tcPr>
            <w:tcW w:w="1925" w:type="dxa"/>
            <w:gridSpan w:val="2"/>
            <w:noWrap/>
            <w:vAlign w:val="center"/>
          </w:tcPr>
          <w:p w14:paraId="7B248FD3">
            <w:pPr>
              <w:pStyle w:val="26"/>
              <w:ind w:firstLine="0" w:firstLineChars="0"/>
              <w:rPr>
                <w:rFonts w:hint="eastAsia" w:asciiTheme="majorEastAsia" w:hAnsiTheme="majorEastAsia" w:eastAsiaTheme="majorEastAsia" w:cstheme="majorEastAsia"/>
                <w:bCs/>
                <w:sz w:val="21"/>
                <w:szCs w:val="21"/>
                <w:lang w:val="en-US" w:eastAsia="zh-CN"/>
              </w:rPr>
            </w:pPr>
            <w:r>
              <w:rPr>
                <w:rFonts w:hint="eastAsia" w:asciiTheme="minorEastAsia" w:hAnsiTheme="minorEastAsia" w:eastAsiaTheme="minorEastAsia" w:cstheme="minorEastAsia"/>
                <w:bCs/>
                <w:color w:val="auto"/>
                <w:sz w:val="21"/>
                <w:szCs w:val="21"/>
                <w:lang w:val="en-US" w:eastAsia="zh-CN"/>
              </w:rPr>
              <w:t>1819</w:t>
            </w:r>
          </w:p>
        </w:tc>
        <w:tc>
          <w:tcPr>
            <w:tcW w:w="2140" w:type="dxa"/>
            <w:noWrap/>
            <w:vAlign w:val="center"/>
          </w:tcPr>
          <w:p w14:paraId="5C1AE9EA">
            <w:pPr>
              <w:ind w:firstLine="0" w:firstLineChars="0"/>
              <w:jc w:val="center"/>
              <w:rPr>
                <w:rFonts w:hint="eastAsia" w:asciiTheme="majorEastAsia" w:hAnsiTheme="majorEastAsia" w:eastAsiaTheme="majorEastAsia" w:cstheme="majorEastAsia"/>
                <w:bCs/>
                <w:sz w:val="21"/>
                <w:szCs w:val="21"/>
                <w:lang w:val="en-US" w:eastAsia="zh-CN"/>
              </w:rPr>
            </w:pPr>
            <w:r>
              <w:rPr>
                <w:rFonts w:hint="eastAsia" w:asciiTheme="minorEastAsia" w:hAnsiTheme="minorEastAsia" w:eastAsiaTheme="minorEastAsia" w:cstheme="minorEastAsia"/>
                <w:bCs/>
                <w:color w:val="auto"/>
                <w:sz w:val="21"/>
                <w:szCs w:val="21"/>
                <w:lang w:val="en-US" w:eastAsia="zh-CN"/>
              </w:rPr>
              <w:t>137</w:t>
            </w:r>
          </w:p>
        </w:tc>
      </w:tr>
      <w:tr w14:paraId="6499A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45641A08">
            <w:pPr>
              <w:pStyle w:val="23"/>
              <w:ind w:firstLine="210" w:firstLineChars="100"/>
              <w:jc w:val="both"/>
              <w:rPr>
                <w:rFonts w:hint="eastAsia" w:asciiTheme="majorEastAsia" w:hAnsiTheme="majorEastAsia" w:eastAsiaTheme="majorEastAsia" w:cstheme="majorEastAsia"/>
                <w:color w:val="000000"/>
                <w:kern w:val="16"/>
                <w:sz w:val="21"/>
                <w:szCs w:val="21"/>
              </w:rPr>
            </w:pPr>
          </w:p>
        </w:tc>
        <w:tc>
          <w:tcPr>
            <w:tcW w:w="4269" w:type="dxa"/>
            <w:gridSpan w:val="4"/>
            <w:noWrap/>
            <w:vAlign w:val="center"/>
          </w:tcPr>
          <w:p w14:paraId="71CB700E">
            <w:pPr>
              <w:pStyle w:val="23"/>
              <w:ind w:firstLine="210" w:firstLineChars="100"/>
              <w:jc w:val="center"/>
              <w:rPr>
                <w:rFonts w:hint="eastAsia" w:asciiTheme="majorEastAsia" w:hAnsiTheme="majorEastAsia" w:eastAsiaTheme="majorEastAsia" w:cstheme="majorEastAsia"/>
                <w:color w:val="000000"/>
                <w:kern w:val="16"/>
                <w:sz w:val="21"/>
                <w:szCs w:val="21"/>
                <w:lang w:val="en-US" w:eastAsia="zh-CN"/>
              </w:rPr>
            </w:pPr>
            <w:r>
              <w:rPr>
                <w:rFonts w:hint="eastAsia" w:asciiTheme="majorEastAsia" w:hAnsiTheme="majorEastAsia" w:eastAsiaTheme="majorEastAsia" w:cstheme="majorEastAsia"/>
                <w:color w:val="000000"/>
                <w:kern w:val="16"/>
                <w:sz w:val="21"/>
                <w:szCs w:val="21"/>
                <w:lang w:val="en-US" w:eastAsia="zh-CN"/>
              </w:rPr>
              <w:t>合计</w:t>
            </w:r>
          </w:p>
        </w:tc>
        <w:tc>
          <w:tcPr>
            <w:tcW w:w="1925" w:type="dxa"/>
            <w:gridSpan w:val="2"/>
            <w:noWrap/>
            <w:vAlign w:val="center"/>
          </w:tcPr>
          <w:p w14:paraId="18EFE733">
            <w:pPr>
              <w:pStyle w:val="26"/>
              <w:ind w:firstLine="0" w:firstLineChars="0"/>
              <w:jc w:val="center"/>
              <w:rPr>
                <w:rFonts w:hint="default" w:asciiTheme="majorEastAsia" w:hAnsiTheme="majorEastAsia" w:eastAsiaTheme="majorEastAsia" w:cstheme="majorEastAsia"/>
                <w:kern w:val="2"/>
                <w:sz w:val="21"/>
                <w:szCs w:val="21"/>
                <w:lang w:val="en-US" w:eastAsia="zh-CN" w:bidi="ar-SA"/>
              </w:rPr>
            </w:pPr>
            <w:r>
              <w:rPr>
                <w:rFonts w:hint="eastAsia" w:asciiTheme="minorEastAsia" w:hAnsiTheme="minorEastAsia" w:eastAsiaTheme="minorEastAsia" w:cstheme="minorEastAsia"/>
                <w:bCs/>
                <w:sz w:val="21"/>
                <w:szCs w:val="21"/>
                <w:lang w:val="en-US" w:eastAsia="zh-CN"/>
              </w:rPr>
              <w:t>3437</w:t>
            </w:r>
          </w:p>
        </w:tc>
        <w:tc>
          <w:tcPr>
            <w:tcW w:w="2140" w:type="dxa"/>
            <w:noWrap/>
            <w:vAlign w:val="center"/>
          </w:tcPr>
          <w:p w14:paraId="19B243E2">
            <w:pPr>
              <w:ind w:firstLine="0" w:firstLineChars="0"/>
              <w:jc w:val="center"/>
              <w:rPr>
                <w:rFonts w:hint="default" w:asciiTheme="majorEastAsia" w:hAnsiTheme="majorEastAsia" w:eastAsiaTheme="majorEastAsia" w:cstheme="majorEastAsia"/>
                <w:kern w:val="2"/>
                <w:sz w:val="21"/>
                <w:szCs w:val="21"/>
                <w:lang w:val="en-US" w:eastAsia="zh-CN" w:bidi="ar-SA"/>
              </w:rPr>
            </w:pPr>
            <w:r>
              <w:rPr>
                <w:rFonts w:hint="eastAsia" w:asciiTheme="minorEastAsia" w:hAnsiTheme="minorEastAsia" w:eastAsiaTheme="minorEastAsia" w:cstheme="minorEastAsia"/>
                <w:bCs/>
                <w:sz w:val="21"/>
                <w:szCs w:val="21"/>
                <w:lang w:val="en-US" w:eastAsia="zh-CN"/>
              </w:rPr>
              <w:t>205</w:t>
            </w:r>
          </w:p>
        </w:tc>
      </w:tr>
      <w:tr w14:paraId="5A1D3C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noWrap/>
            <w:vAlign w:val="center"/>
          </w:tcPr>
          <w:p w14:paraId="54739846">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现场检测</w:t>
            </w:r>
          </w:p>
        </w:tc>
        <w:tc>
          <w:tcPr>
            <w:tcW w:w="2065" w:type="dxa"/>
            <w:gridSpan w:val="3"/>
            <w:noWrap/>
            <w:vAlign w:val="center"/>
          </w:tcPr>
          <w:p w14:paraId="73CF843F">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起始日期</w:t>
            </w:r>
          </w:p>
        </w:tc>
        <w:tc>
          <w:tcPr>
            <w:tcW w:w="2204" w:type="dxa"/>
            <w:noWrap/>
            <w:vAlign w:val="center"/>
          </w:tcPr>
          <w:p w14:paraId="260301DF">
            <w:pPr>
              <w:pStyle w:val="23"/>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eastAsia="zh-CN"/>
              </w:rPr>
              <w:t>202</w:t>
            </w:r>
            <w:r>
              <w:rPr>
                <w:rFonts w:hint="eastAsia" w:asciiTheme="majorEastAsia" w:hAnsiTheme="majorEastAsia" w:eastAsiaTheme="majorEastAsia" w:cstheme="majorEastAsia"/>
                <w:color w:val="000000"/>
                <w:sz w:val="21"/>
                <w:szCs w:val="21"/>
                <w:lang w:val="en-US" w:eastAsia="zh-CN"/>
              </w:rPr>
              <w:t>4</w:t>
            </w:r>
            <w:r>
              <w:rPr>
                <w:rFonts w:hint="eastAsia" w:asciiTheme="majorEastAsia" w:hAnsiTheme="majorEastAsia" w:eastAsiaTheme="majorEastAsia" w:cstheme="majorEastAsia"/>
                <w:color w:val="000000"/>
                <w:sz w:val="21"/>
                <w:szCs w:val="21"/>
                <w:lang w:eastAsia="zh-CN"/>
              </w:rPr>
              <w:t>年</w:t>
            </w:r>
            <w:r>
              <w:rPr>
                <w:rFonts w:hint="eastAsia" w:asciiTheme="majorEastAsia" w:hAnsiTheme="majorEastAsia" w:eastAsiaTheme="majorEastAsia" w:cstheme="majorEastAsia"/>
                <w:color w:val="000000"/>
                <w:sz w:val="21"/>
                <w:szCs w:val="21"/>
                <w:lang w:val="en-US" w:eastAsia="zh-CN"/>
              </w:rPr>
              <w:t>09</w:t>
            </w:r>
            <w:r>
              <w:rPr>
                <w:rFonts w:hint="eastAsia" w:asciiTheme="majorEastAsia" w:hAnsiTheme="majorEastAsia" w:eastAsiaTheme="majorEastAsia" w:cstheme="majorEastAsia"/>
                <w:color w:val="000000"/>
                <w:sz w:val="21"/>
                <w:szCs w:val="21"/>
                <w:lang w:eastAsia="zh-CN"/>
              </w:rPr>
              <w:t>月</w:t>
            </w:r>
            <w:r>
              <w:rPr>
                <w:rFonts w:hint="eastAsia" w:asciiTheme="majorEastAsia" w:hAnsiTheme="majorEastAsia" w:eastAsiaTheme="majorEastAsia" w:cstheme="majorEastAsia"/>
                <w:color w:val="000000"/>
                <w:sz w:val="21"/>
                <w:szCs w:val="21"/>
                <w:lang w:val="en-US" w:eastAsia="zh-CN"/>
              </w:rPr>
              <w:t>20</w:t>
            </w:r>
            <w:r>
              <w:rPr>
                <w:rFonts w:hint="eastAsia" w:asciiTheme="majorEastAsia" w:hAnsiTheme="majorEastAsia" w:eastAsiaTheme="majorEastAsia" w:cstheme="majorEastAsia"/>
                <w:color w:val="000000"/>
                <w:sz w:val="21"/>
                <w:szCs w:val="21"/>
                <w:lang w:eastAsia="zh-CN"/>
              </w:rPr>
              <w:t>日</w:t>
            </w:r>
          </w:p>
        </w:tc>
        <w:tc>
          <w:tcPr>
            <w:tcW w:w="1925" w:type="dxa"/>
            <w:gridSpan w:val="2"/>
            <w:noWrap/>
            <w:vAlign w:val="center"/>
          </w:tcPr>
          <w:p w14:paraId="6D94DC5E">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完成日期</w:t>
            </w:r>
          </w:p>
        </w:tc>
        <w:tc>
          <w:tcPr>
            <w:tcW w:w="2140" w:type="dxa"/>
            <w:noWrap/>
            <w:vAlign w:val="center"/>
          </w:tcPr>
          <w:p w14:paraId="230B527E">
            <w:pPr>
              <w:pStyle w:val="23"/>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eastAsia="zh-CN"/>
              </w:rPr>
              <w:t>2024年0</w:t>
            </w:r>
            <w:r>
              <w:rPr>
                <w:rFonts w:hint="eastAsia" w:asciiTheme="majorEastAsia" w:hAnsiTheme="majorEastAsia" w:eastAsiaTheme="majorEastAsia" w:cstheme="majorEastAsia"/>
                <w:color w:val="000000"/>
                <w:sz w:val="21"/>
                <w:szCs w:val="21"/>
                <w:lang w:val="en-US" w:eastAsia="zh-CN"/>
              </w:rPr>
              <w:t>9</w:t>
            </w:r>
            <w:r>
              <w:rPr>
                <w:rFonts w:hint="eastAsia" w:asciiTheme="majorEastAsia" w:hAnsiTheme="majorEastAsia" w:eastAsiaTheme="majorEastAsia" w:cstheme="majorEastAsia"/>
                <w:color w:val="000000"/>
                <w:sz w:val="21"/>
                <w:szCs w:val="21"/>
                <w:lang w:eastAsia="zh-CN"/>
              </w:rPr>
              <w:t>月</w:t>
            </w:r>
            <w:r>
              <w:rPr>
                <w:rFonts w:hint="eastAsia" w:asciiTheme="majorEastAsia" w:hAnsiTheme="majorEastAsia" w:eastAsiaTheme="majorEastAsia" w:cstheme="majorEastAsia"/>
                <w:color w:val="000000"/>
                <w:sz w:val="21"/>
                <w:szCs w:val="21"/>
                <w:lang w:val="en-US" w:eastAsia="zh-CN"/>
              </w:rPr>
              <w:t>21</w:t>
            </w:r>
            <w:r>
              <w:rPr>
                <w:rFonts w:hint="eastAsia" w:asciiTheme="majorEastAsia" w:hAnsiTheme="majorEastAsia" w:eastAsiaTheme="majorEastAsia" w:cstheme="majorEastAsia"/>
                <w:color w:val="000000"/>
                <w:sz w:val="21"/>
                <w:szCs w:val="21"/>
                <w:lang w:eastAsia="zh-CN"/>
              </w:rPr>
              <w:t>日</w:t>
            </w:r>
          </w:p>
        </w:tc>
      </w:tr>
      <w:tr w14:paraId="099B13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19E128B6">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14:paraId="2638BE31">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检测密封点数</w:t>
            </w:r>
          </w:p>
        </w:tc>
        <w:tc>
          <w:tcPr>
            <w:tcW w:w="2204" w:type="dxa"/>
            <w:noWrap/>
            <w:vAlign w:val="center"/>
          </w:tcPr>
          <w:p w14:paraId="3867BF74">
            <w:pPr>
              <w:pStyle w:val="23"/>
              <w:rPr>
                <w:rFonts w:hint="default" w:asciiTheme="majorEastAsia" w:hAnsiTheme="majorEastAsia" w:eastAsiaTheme="majorEastAsia" w:cstheme="majorEastAsia"/>
                <w:color w:val="000000"/>
                <w:sz w:val="21"/>
                <w:szCs w:val="21"/>
                <w:lang w:val="en-US" w:eastAsia="zh-CN"/>
              </w:rPr>
            </w:pPr>
            <w:r>
              <w:rPr>
                <w:rFonts w:hint="eastAsia" w:asciiTheme="minorEastAsia" w:hAnsiTheme="minorEastAsia" w:eastAsiaTheme="minorEastAsia" w:cstheme="minorEastAsia"/>
                <w:bCs/>
                <w:sz w:val="21"/>
                <w:szCs w:val="21"/>
                <w:lang w:val="en-US" w:eastAsia="zh-CN"/>
              </w:rPr>
              <w:t>3232</w:t>
            </w:r>
          </w:p>
        </w:tc>
        <w:tc>
          <w:tcPr>
            <w:tcW w:w="1925" w:type="dxa"/>
            <w:gridSpan w:val="2"/>
            <w:noWrap/>
            <w:vAlign w:val="center"/>
          </w:tcPr>
          <w:p w14:paraId="49174060">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泄漏点数</w:t>
            </w:r>
          </w:p>
        </w:tc>
        <w:tc>
          <w:tcPr>
            <w:tcW w:w="2140" w:type="dxa"/>
            <w:noWrap/>
            <w:vAlign w:val="center"/>
          </w:tcPr>
          <w:p w14:paraId="220FA1D0">
            <w:pPr>
              <w:pStyle w:val="23"/>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3</w:t>
            </w:r>
          </w:p>
        </w:tc>
      </w:tr>
      <w:tr w14:paraId="0D9E1D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2D87696B">
            <w:pPr>
              <w:pStyle w:val="23"/>
              <w:rPr>
                <w:rFonts w:hint="eastAsia" w:asciiTheme="majorEastAsia" w:hAnsiTheme="majorEastAsia" w:eastAsiaTheme="majorEastAsia" w:cstheme="majorEastAsia"/>
                <w:color w:val="000000"/>
                <w:sz w:val="21"/>
                <w:szCs w:val="21"/>
              </w:rPr>
            </w:pPr>
          </w:p>
        </w:tc>
        <w:tc>
          <w:tcPr>
            <w:tcW w:w="2065" w:type="dxa"/>
            <w:gridSpan w:val="3"/>
            <w:noWrap/>
            <w:vAlign w:val="top"/>
          </w:tcPr>
          <w:p w14:paraId="73A68BB1">
            <w:pPr>
              <w:pStyle w:val="23"/>
              <w:jc w:val="left"/>
              <w:rPr>
                <w:rFonts w:hint="eastAsia" w:asciiTheme="majorEastAsia" w:hAnsiTheme="majorEastAsia" w:eastAsiaTheme="majorEastAsia" w:cstheme="majorEastAsia"/>
                <w:color w:val="000000"/>
                <w:kern w:val="16"/>
                <w:sz w:val="21"/>
                <w:szCs w:val="21"/>
                <w:lang w:val="en-US" w:eastAsia="zh-CN"/>
              </w:rPr>
            </w:pPr>
            <w:r>
              <w:rPr>
                <w:rFonts w:hint="eastAsia" w:asciiTheme="majorEastAsia" w:hAnsiTheme="majorEastAsia" w:eastAsiaTheme="majorEastAsia" w:cstheme="majorEastAsia"/>
                <w:color w:val="000000"/>
                <w:kern w:val="16"/>
                <w:sz w:val="21"/>
                <w:szCs w:val="21"/>
                <w:lang w:val="en-US" w:eastAsia="zh-CN"/>
              </w:rPr>
              <w:t>泄漏检测值达到或超过10000μmol/mol的泄漏点数</w:t>
            </w:r>
          </w:p>
        </w:tc>
        <w:tc>
          <w:tcPr>
            <w:tcW w:w="6269" w:type="dxa"/>
            <w:gridSpan w:val="4"/>
            <w:noWrap/>
            <w:vAlign w:val="center"/>
          </w:tcPr>
          <w:p w14:paraId="39CF19C1">
            <w:pPr>
              <w:pStyle w:val="23"/>
              <w:ind w:firstLine="2730" w:firstLineChars="1300"/>
              <w:jc w:val="both"/>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0</w:t>
            </w:r>
          </w:p>
        </w:tc>
      </w:tr>
      <w:tr w14:paraId="1A8BBC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noWrap/>
            <w:vAlign w:val="center"/>
          </w:tcPr>
          <w:p w14:paraId="79C96398">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修复</w:t>
            </w:r>
          </w:p>
        </w:tc>
        <w:tc>
          <w:tcPr>
            <w:tcW w:w="2065" w:type="dxa"/>
            <w:gridSpan w:val="3"/>
            <w:noWrap/>
            <w:vAlign w:val="center"/>
          </w:tcPr>
          <w:p w14:paraId="22114640">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5日内首次</w:t>
            </w:r>
            <w:r>
              <w:rPr>
                <w:rFonts w:hint="eastAsia" w:asciiTheme="majorEastAsia" w:hAnsiTheme="majorEastAsia" w:eastAsiaTheme="majorEastAsia" w:cstheme="majorEastAsia"/>
                <w:color w:val="000000"/>
                <w:sz w:val="21"/>
                <w:szCs w:val="21"/>
                <w:lang w:val="en-US" w:eastAsia="zh-CN"/>
              </w:rPr>
              <w:t>尝试</w:t>
            </w:r>
            <w:r>
              <w:rPr>
                <w:rFonts w:hint="eastAsia" w:asciiTheme="majorEastAsia" w:hAnsiTheme="majorEastAsia" w:eastAsiaTheme="majorEastAsia" w:cstheme="majorEastAsia"/>
                <w:color w:val="000000"/>
                <w:sz w:val="21"/>
                <w:szCs w:val="21"/>
              </w:rPr>
              <w:t>维修修复密封点数</w:t>
            </w:r>
          </w:p>
        </w:tc>
        <w:tc>
          <w:tcPr>
            <w:tcW w:w="2204" w:type="dxa"/>
            <w:noWrap/>
            <w:vAlign w:val="center"/>
          </w:tcPr>
          <w:p w14:paraId="308930E9">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3</w:t>
            </w:r>
          </w:p>
        </w:tc>
        <w:tc>
          <w:tcPr>
            <w:tcW w:w="1925" w:type="dxa"/>
            <w:gridSpan w:val="2"/>
            <w:noWrap/>
            <w:vAlign w:val="center"/>
          </w:tcPr>
          <w:p w14:paraId="0CA2A2FC">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15日内实质性维修修复密封点数</w:t>
            </w:r>
          </w:p>
        </w:tc>
        <w:tc>
          <w:tcPr>
            <w:tcW w:w="2140" w:type="dxa"/>
            <w:noWrap/>
            <w:vAlign w:val="center"/>
          </w:tcPr>
          <w:p w14:paraId="66BA6C36">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0</w:t>
            </w:r>
          </w:p>
        </w:tc>
      </w:tr>
      <w:tr w14:paraId="7AF9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1464D9E2">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14:paraId="7C88766F">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lang w:val="en-US" w:eastAsia="zh-CN"/>
              </w:rPr>
              <w:t>已完成</w:t>
            </w:r>
            <w:r>
              <w:rPr>
                <w:rFonts w:hint="eastAsia" w:asciiTheme="majorEastAsia" w:hAnsiTheme="majorEastAsia" w:eastAsiaTheme="majorEastAsia" w:cstheme="majorEastAsia"/>
                <w:color w:val="000000"/>
                <w:sz w:val="21"/>
                <w:szCs w:val="21"/>
              </w:rPr>
              <w:t>修复密封点数</w:t>
            </w:r>
          </w:p>
        </w:tc>
        <w:tc>
          <w:tcPr>
            <w:tcW w:w="6269" w:type="dxa"/>
            <w:gridSpan w:val="4"/>
            <w:noWrap/>
            <w:vAlign w:val="center"/>
          </w:tcPr>
          <w:p w14:paraId="3015EA2C">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3</w:t>
            </w:r>
          </w:p>
        </w:tc>
      </w:tr>
      <w:tr w14:paraId="031C2D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4C199557">
            <w:pPr>
              <w:pStyle w:val="23"/>
              <w:rPr>
                <w:rFonts w:hint="eastAsia" w:asciiTheme="majorEastAsia" w:hAnsiTheme="majorEastAsia" w:eastAsiaTheme="majorEastAsia" w:cstheme="majorEastAsia"/>
                <w:color w:val="000000"/>
                <w:sz w:val="21"/>
                <w:szCs w:val="21"/>
              </w:rPr>
            </w:pPr>
          </w:p>
        </w:tc>
        <w:tc>
          <w:tcPr>
            <w:tcW w:w="8334" w:type="dxa"/>
            <w:gridSpan w:val="7"/>
            <w:noWrap/>
            <w:vAlign w:val="center"/>
          </w:tcPr>
          <w:p w14:paraId="4247F819">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延迟修复</w:t>
            </w:r>
          </w:p>
        </w:tc>
      </w:tr>
      <w:tr w14:paraId="42DA4A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083B9931">
            <w:pPr>
              <w:pStyle w:val="23"/>
              <w:rPr>
                <w:rFonts w:hint="eastAsia" w:asciiTheme="majorEastAsia" w:hAnsiTheme="majorEastAsia" w:eastAsiaTheme="majorEastAsia" w:cstheme="majorEastAsia"/>
                <w:color w:val="000000"/>
                <w:sz w:val="21"/>
                <w:szCs w:val="21"/>
              </w:rPr>
            </w:pPr>
          </w:p>
        </w:tc>
        <w:tc>
          <w:tcPr>
            <w:tcW w:w="2063" w:type="dxa"/>
            <w:gridSpan w:val="2"/>
            <w:noWrap/>
            <w:vAlign w:val="center"/>
          </w:tcPr>
          <w:p w14:paraId="0C82EBC5">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延迟修复泄漏点数</w:t>
            </w:r>
          </w:p>
        </w:tc>
        <w:tc>
          <w:tcPr>
            <w:tcW w:w="3139" w:type="dxa"/>
            <w:gridSpan w:val="3"/>
            <w:noWrap/>
            <w:vAlign w:val="center"/>
          </w:tcPr>
          <w:p w14:paraId="7047004B">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延迟修复</w:t>
            </w:r>
            <w:r>
              <w:rPr>
                <w:rFonts w:hint="eastAsia" w:asciiTheme="majorEastAsia" w:hAnsiTheme="majorEastAsia" w:eastAsiaTheme="majorEastAsia" w:cstheme="majorEastAsia"/>
                <w:color w:val="000000"/>
                <w:kern w:val="16"/>
                <w:sz w:val="21"/>
                <w:szCs w:val="21"/>
                <w:lang w:val="en-US" w:eastAsia="zh-CN"/>
              </w:rPr>
              <w:t>泄漏检测值达到或超过10000μmol/mol的泄漏点数</w:t>
            </w:r>
          </w:p>
        </w:tc>
        <w:tc>
          <w:tcPr>
            <w:tcW w:w="3132" w:type="dxa"/>
            <w:gridSpan w:val="2"/>
            <w:noWrap/>
            <w:vAlign w:val="center"/>
          </w:tcPr>
          <w:p w14:paraId="7A0BECDD">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全厂下次停车检修日期</w:t>
            </w:r>
          </w:p>
        </w:tc>
      </w:tr>
      <w:tr w14:paraId="1FF34A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tcBorders>
              <w:bottom w:val="single" w:color="auto" w:sz="12" w:space="0"/>
            </w:tcBorders>
            <w:noWrap/>
            <w:vAlign w:val="center"/>
          </w:tcPr>
          <w:p w14:paraId="28D183AC">
            <w:pPr>
              <w:pStyle w:val="23"/>
              <w:rPr>
                <w:rFonts w:hint="eastAsia" w:asciiTheme="majorEastAsia" w:hAnsiTheme="majorEastAsia" w:eastAsiaTheme="majorEastAsia" w:cstheme="majorEastAsia"/>
                <w:color w:val="000000"/>
                <w:sz w:val="21"/>
                <w:szCs w:val="21"/>
              </w:rPr>
            </w:pPr>
          </w:p>
        </w:tc>
        <w:tc>
          <w:tcPr>
            <w:tcW w:w="2063" w:type="dxa"/>
            <w:gridSpan w:val="2"/>
            <w:tcBorders>
              <w:bottom w:val="single" w:color="auto" w:sz="12" w:space="0"/>
            </w:tcBorders>
            <w:noWrap/>
            <w:vAlign w:val="center"/>
          </w:tcPr>
          <w:p w14:paraId="7973055A">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c>
          <w:tcPr>
            <w:tcW w:w="3139" w:type="dxa"/>
            <w:gridSpan w:val="3"/>
            <w:tcBorders>
              <w:bottom w:val="single" w:color="auto" w:sz="12" w:space="0"/>
            </w:tcBorders>
            <w:noWrap/>
            <w:vAlign w:val="center"/>
          </w:tcPr>
          <w:p w14:paraId="089E5ACC">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c>
          <w:tcPr>
            <w:tcW w:w="3132" w:type="dxa"/>
            <w:gridSpan w:val="2"/>
            <w:tcBorders>
              <w:bottom w:val="single" w:color="auto" w:sz="12" w:space="0"/>
            </w:tcBorders>
            <w:noWrap/>
            <w:vAlign w:val="center"/>
          </w:tcPr>
          <w:p w14:paraId="571BC60F">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w:t>
            </w:r>
          </w:p>
        </w:tc>
      </w:tr>
    </w:tbl>
    <w:p w14:paraId="73A35B46">
      <w:pPr>
        <w:rPr>
          <w:rFonts w:hint="eastAsia" w:asciiTheme="majorEastAsia" w:hAnsiTheme="majorEastAsia" w:eastAsiaTheme="majorEastAsia" w:cstheme="majorEastAsia"/>
          <w:lang w:eastAsia="zh-CN"/>
        </w:rPr>
        <w:sectPr>
          <w:pgSz w:w="11906" w:h="16838"/>
          <w:pgMar w:top="1418"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14:paraId="712D9F89">
      <w:pPr>
        <w:pStyle w:val="4"/>
        <w:numPr>
          <w:ilvl w:val="1"/>
          <w:numId w:val="0"/>
        </w:numPr>
        <w:bidi w:val="0"/>
        <w:ind w:leftChars="0" w:firstLine="3131" w:firstLineChars="1300"/>
        <w:rPr>
          <w:rFonts w:hint="eastAsia" w:asciiTheme="majorEastAsia" w:hAnsiTheme="majorEastAsia" w:eastAsiaTheme="majorEastAsia" w:cstheme="majorEastAsia"/>
          <w:color w:val="FF0000"/>
          <w:sz w:val="21"/>
          <w:szCs w:val="21"/>
          <w:lang w:val="en-US" w:eastAsia="zh-CN"/>
        </w:rPr>
      </w:pPr>
      <w:bookmarkStart w:id="106" w:name="_Toc30846"/>
      <w:r>
        <w:rPr>
          <w:rFonts w:hint="eastAsia" w:asciiTheme="majorEastAsia" w:hAnsiTheme="majorEastAsia" w:eastAsiaTheme="majorEastAsia" w:cstheme="majorEastAsia"/>
          <w:color w:val="auto"/>
          <w:sz w:val="21"/>
          <w:szCs w:val="21"/>
          <w:lang w:val="en-US" w:eastAsia="zh-CN"/>
        </w:rPr>
        <w:t>表6.1 山东万达化工有限公司ODA一装置</w:t>
      </w:r>
      <w:r>
        <w:rPr>
          <w:rFonts w:hint="eastAsia" w:asciiTheme="majorEastAsia" w:hAnsiTheme="majorEastAsia" w:eastAsiaTheme="majorEastAsia" w:cstheme="majorEastAsia"/>
          <w:sz w:val="21"/>
          <w:szCs w:val="21"/>
          <w:lang w:val="en-US" w:eastAsia="zh-CN"/>
        </w:rPr>
        <w:t>LDAR 2024年第三轮统计表</w:t>
      </w:r>
      <w:bookmarkEnd w:id="106"/>
    </w:p>
    <w:p w14:paraId="3ED63828">
      <w:pPr>
        <w:pStyle w:val="23"/>
        <w:outlineLvl w:val="9"/>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2"/>
          <w:sz w:val="21"/>
          <w:szCs w:val="21"/>
          <w:lang w:val="en-US" w:eastAsia="zh-CN" w:bidi="ar-SA"/>
        </w:rPr>
        <w:t xml:space="preserve">                                                                                                              填表日期：2024年09月23日</w:t>
      </w:r>
    </w:p>
    <w:tbl>
      <w:tblPr>
        <w:tblStyle w:val="13"/>
        <w:tblW w:w="4975"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1562"/>
        <w:gridCol w:w="1135"/>
        <w:gridCol w:w="1377"/>
        <w:gridCol w:w="918"/>
        <w:gridCol w:w="892"/>
        <w:gridCol w:w="1338"/>
        <w:gridCol w:w="778"/>
        <w:gridCol w:w="1428"/>
        <w:gridCol w:w="1453"/>
        <w:gridCol w:w="1275"/>
        <w:gridCol w:w="2276"/>
      </w:tblGrid>
      <w:tr w14:paraId="1F18CEC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tcBorders>
              <w:top w:val="single" w:color="auto" w:sz="12" w:space="0"/>
            </w:tcBorders>
            <w:noWrap/>
            <w:vAlign w:val="center"/>
          </w:tcPr>
          <w:p w14:paraId="63E45F95">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装置名称</w:t>
            </w:r>
          </w:p>
        </w:tc>
        <w:tc>
          <w:tcPr>
            <w:tcW w:w="2512" w:type="dxa"/>
            <w:gridSpan w:val="2"/>
            <w:tcBorders>
              <w:top w:val="single" w:color="auto" w:sz="12" w:space="0"/>
            </w:tcBorders>
            <w:noWrap/>
            <w:vAlign w:val="center"/>
          </w:tcPr>
          <w:p w14:paraId="4E624A6D">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ODA一装置</w:t>
            </w:r>
          </w:p>
        </w:tc>
        <w:tc>
          <w:tcPr>
            <w:tcW w:w="1810" w:type="dxa"/>
            <w:gridSpan w:val="2"/>
            <w:tcBorders>
              <w:top w:val="single" w:color="auto" w:sz="12" w:space="0"/>
            </w:tcBorders>
            <w:noWrap/>
            <w:vAlign w:val="center"/>
          </w:tcPr>
          <w:p w14:paraId="3A20A915">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装置编码</w:t>
            </w:r>
          </w:p>
        </w:tc>
        <w:tc>
          <w:tcPr>
            <w:tcW w:w="1338" w:type="dxa"/>
            <w:tcBorders>
              <w:top w:val="single" w:color="auto" w:sz="12" w:space="0"/>
            </w:tcBorders>
            <w:noWrap/>
            <w:vAlign w:val="center"/>
          </w:tcPr>
          <w:p w14:paraId="12AAE6BB">
            <w:pPr>
              <w:pStyle w:val="23"/>
              <w:rPr>
                <w:rFonts w:hint="eastAsia" w:asciiTheme="majorEastAsia" w:hAnsiTheme="majorEastAsia" w:eastAsiaTheme="majorEastAsia" w:cstheme="majorEastAsia"/>
                <w:color w:val="auto"/>
                <w:sz w:val="21"/>
                <w:szCs w:val="21"/>
                <w:lang w:val="en-US"/>
              </w:rPr>
            </w:pPr>
            <w:r>
              <w:rPr>
                <w:rFonts w:hint="eastAsia" w:asciiTheme="majorEastAsia" w:hAnsiTheme="majorEastAsia" w:eastAsiaTheme="majorEastAsia" w:cstheme="majorEastAsia"/>
                <w:color w:val="auto"/>
                <w:sz w:val="21"/>
                <w:szCs w:val="21"/>
                <w:lang w:val="en-US" w:eastAsia="zh-CN"/>
              </w:rPr>
              <w:t>XODAY0</w:t>
            </w:r>
          </w:p>
        </w:tc>
        <w:tc>
          <w:tcPr>
            <w:tcW w:w="2206" w:type="dxa"/>
            <w:gridSpan w:val="2"/>
            <w:tcBorders>
              <w:top w:val="single" w:color="auto" w:sz="12" w:space="0"/>
            </w:tcBorders>
            <w:noWrap/>
            <w:vAlign w:val="center"/>
          </w:tcPr>
          <w:p w14:paraId="77859BF8">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年加工/生产能力</w:t>
            </w:r>
          </w:p>
        </w:tc>
        <w:tc>
          <w:tcPr>
            <w:tcW w:w="5004" w:type="dxa"/>
            <w:gridSpan w:val="3"/>
            <w:tcBorders>
              <w:top w:val="single" w:color="auto" w:sz="12" w:space="0"/>
            </w:tcBorders>
            <w:noWrap/>
            <w:vAlign w:val="center"/>
          </w:tcPr>
          <w:p w14:paraId="0987665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r>
      <w:tr w14:paraId="05760C4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41800080">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装置初次</w:t>
            </w:r>
          </w:p>
          <w:p w14:paraId="3D0A0CEB">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开工日期</w:t>
            </w:r>
          </w:p>
        </w:tc>
        <w:tc>
          <w:tcPr>
            <w:tcW w:w="1135" w:type="dxa"/>
            <w:noWrap/>
            <w:vAlign w:val="center"/>
          </w:tcPr>
          <w:p w14:paraId="3424159B">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p>
        </w:tc>
        <w:tc>
          <w:tcPr>
            <w:tcW w:w="1377" w:type="dxa"/>
            <w:noWrap/>
            <w:vAlign w:val="center"/>
          </w:tcPr>
          <w:p w14:paraId="3C7AF2F0">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装置上次停车检修日期</w:t>
            </w:r>
          </w:p>
        </w:tc>
        <w:tc>
          <w:tcPr>
            <w:tcW w:w="5354" w:type="dxa"/>
            <w:gridSpan w:val="5"/>
            <w:noWrap/>
            <w:vAlign w:val="center"/>
          </w:tcPr>
          <w:p w14:paraId="5F0D27C2">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p>
        </w:tc>
        <w:tc>
          <w:tcPr>
            <w:tcW w:w="1453" w:type="dxa"/>
            <w:noWrap/>
            <w:vAlign w:val="center"/>
          </w:tcPr>
          <w:p w14:paraId="7D7DEE81">
            <w:pPr>
              <w:pStyle w:val="23"/>
              <w:rPr>
                <w:rFonts w:hint="eastAsia" w:asciiTheme="majorEastAsia" w:hAnsiTheme="majorEastAsia" w:eastAsiaTheme="majorEastAsia" w:cstheme="majorEastAsia"/>
                <w:color w:val="auto"/>
                <w:kern w:val="16"/>
                <w:sz w:val="21"/>
                <w:szCs w:val="21"/>
              </w:rPr>
            </w:pPr>
            <w:r>
              <w:rPr>
                <w:rFonts w:hint="eastAsia" w:asciiTheme="majorEastAsia" w:hAnsiTheme="majorEastAsia" w:eastAsiaTheme="majorEastAsia" w:cstheme="majorEastAsia"/>
                <w:color w:val="auto"/>
                <w:sz w:val="21"/>
                <w:szCs w:val="21"/>
              </w:rPr>
              <w:t>装置下次停车检修日期</w:t>
            </w:r>
          </w:p>
        </w:tc>
        <w:tc>
          <w:tcPr>
            <w:tcW w:w="3551" w:type="dxa"/>
            <w:gridSpan w:val="2"/>
            <w:noWrap/>
            <w:vAlign w:val="center"/>
          </w:tcPr>
          <w:p w14:paraId="666F631A">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p>
        </w:tc>
      </w:tr>
      <w:tr w14:paraId="5481DD9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vMerge w:val="restart"/>
            <w:noWrap/>
            <w:vAlign w:val="center"/>
          </w:tcPr>
          <w:p w14:paraId="4D6A7A3D">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密封点类别</w:t>
            </w:r>
          </w:p>
        </w:tc>
        <w:tc>
          <w:tcPr>
            <w:tcW w:w="2512" w:type="dxa"/>
            <w:gridSpan w:val="2"/>
            <w:noWrap/>
            <w:vAlign w:val="center"/>
          </w:tcPr>
          <w:p w14:paraId="1940F13D">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项目建立</w:t>
            </w:r>
          </w:p>
        </w:tc>
        <w:tc>
          <w:tcPr>
            <w:tcW w:w="3926" w:type="dxa"/>
            <w:gridSpan w:val="4"/>
            <w:noWrap/>
            <w:vAlign w:val="center"/>
          </w:tcPr>
          <w:p w14:paraId="3895F04A">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现场检测</w:t>
            </w:r>
          </w:p>
        </w:tc>
        <w:tc>
          <w:tcPr>
            <w:tcW w:w="6432" w:type="dxa"/>
            <w:gridSpan w:val="4"/>
            <w:noWrap/>
            <w:vAlign w:val="center"/>
          </w:tcPr>
          <w:p w14:paraId="3F7CFDF5">
            <w:pPr>
              <w:pStyle w:val="23"/>
              <w:rPr>
                <w:rFonts w:hint="eastAsia" w:asciiTheme="majorEastAsia" w:hAnsiTheme="majorEastAsia" w:eastAsiaTheme="majorEastAsia" w:cstheme="majorEastAsia"/>
                <w:color w:val="auto"/>
                <w:kern w:val="16"/>
                <w:sz w:val="21"/>
                <w:szCs w:val="21"/>
              </w:rPr>
            </w:pPr>
            <w:r>
              <w:rPr>
                <w:rFonts w:hint="eastAsia" w:asciiTheme="majorEastAsia" w:hAnsiTheme="majorEastAsia" w:eastAsiaTheme="majorEastAsia" w:cstheme="majorEastAsia"/>
                <w:color w:val="auto"/>
                <w:sz w:val="21"/>
                <w:szCs w:val="21"/>
              </w:rPr>
              <w:t>泄漏维修</w:t>
            </w:r>
          </w:p>
        </w:tc>
      </w:tr>
      <w:tr w14:paraId="62FC344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vMerge w:val="continue"/>
            <w:noWrap/>
            <w:vAlign w:val="center"/>
          </w:tcPr>
          <w:p w14:paraId="57162092">
            <w:pPr>
              <w:pStyle w:val="23"/>
              <w:rPr>
                <w:rFonts w:hint="eastAsia" w:asciiTheme="majorEastAsia" w:hAnsiTheme="majorEastAsia" w:eastAsiaTheme="majorEastAsia" w:cstheme="majorEastAsia"/>
                <w:color w:val="auto"/>
                <w:sz w:val="21"/>
                <w:szCs w:val="21"/>
              </w:rPr>
            </w:pPr>
          </w:p>
        </w:tc>
        <w:tc>
          <w:tcPr>
            <w:tcW w:w="1135" w:type="dxa"/>
            <w:noWrap/>
            <w:vAlign w:val="center"/>
          </w:tcPr>
          <w:p w14:paraId="13739D2E">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受控密封点</w:t>
            </w:r>
            <w:r>
              <w:rPr>
                <w:rFonts w:hint="eastAsia" w:asciiTheme="majorEastAsia" w:hAnsiTheme="majorEastAsia" w:eastAsiaTheme="majorEastAsia" w:cstheme="majorEastAsia"/>
                <w:color w:val="auto"/>
                <w:sz w:val="21"/>
                <w:szCs w:val="21"/>
                <w:lang w:val="en-US" w:eastAsia="zh-CN"/>
              </w:rPr>
              <w:t>数</w:t>
            </w:r>
          </w:p>
        </w:tc>
        <w:tc>
          <w:tcPr>
            <w:tcW w:w="1377" w:type="dxa"/>
            <w:noWrap/>
            <w:vAlign w:val="center"/>
          </w:tcPr>
          <w:p w14:paraId="6D750300">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不可达密封点数</w:t>
            </w:r>
          </w:p>
        </w:tc>
        <w:tc>
          <w:tcPr>
            <w:tcW w:w="918" w:type="dxa"/>
            <w:noWrap/>
            <w:vAlign w:val="center"/>
          </w:tcPr>
          <w:p w14:paraId="7B9CBA9A">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检测密封点数</w:t>
            </w:r>
          </w:p>
        </w:tc>
        <w:tc>
          <w:tcPr>
            <w:tcW w:w="892" w:type="dxa"/>
            <w:noWrap/>
            <w:vAlign w:val="center"/>
          </w:tcPr>
          <w:p w14:paraId="4B206AEE">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泄漏密封点数</w:t>
            </w:r>
          </w:p>
        </w:tc>
        <w:tc>
          <w:tcPr>
            <w:tcW w:w="2116" w:type="dxa"/>
            <w:gridSpan w:val="2"/>
            <w:noWrap/>
            <w:vAlign w:val="center"/>
          </w:tcPr>
          <w:p w14:paraId="3A0E0E18">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val="0"/>
                <w:bCs w:val="0"/>
                <w:color w:val="auto"/>
                <w:sz w:val="21"/>
                <w:szCs w:val="21"/>
                <w:lang w:val="en-US" w:eastAsia="zh-CN"/>
              </w:rPr>
              <w:t>泄漏检测值达到或超过10000</w:t>
            </w:r>
            <w:r>
              <w:rPr>
                <w:rFonts w:hint="eastAsia" w:asciiTheme="majorEastAsia" w:hAnsiTheme="majorEastAsia" w:eastAsiaTheme="majorEastAsia" w:cstheme="majorEastAsia"/>
                <w:b w:val="0"/>
                <w:bCs w:val="0"/>
                <w:color w:val="auto"/>
                <w:kern w:val="16"/>
                <w:sz w:val="21"/>
                <w:szCs w:val="21"/>
                <w:lang w:val="en-US" w:eastAsia="zh-CN"/>
              </w:rPr>
              <w:t>μmol/mol的泄漏点数</w:t>
            </w:r>
          </w:p>
        </w:tc>
        <w:tc>
          <w:tcPr>
            <w:tcW w:w="1428" w:type="dxa"/>
            <w:noWrap/>
            <w:vAlign w:val="center"/>
          </w:tcPr>
          <w:p w14:paraId="74DAAEF9">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val="0"/>
                <w:bCs w:val="0"/>
                <w:color w:val="auto"/>
                <w:sz w:val="21"/>
                <w:szCs w:val="21"/>
              </w:rPr>
              <w:t>5日内首次维修修复密封点数</w:t>
            </w:r>
          </w:p>
        </w:tc>
        <w:tc>
          <w:tcPr>
            <w:tcW w:w="1453" w:type="dxa"/>
            <w:noWrap/>
            <w:vAlign w:val="center"/>
          </w:tcPr>
          <w:p w14:paraId="40E546E8">
            <w:pPr>
              <w:pStyle w:val="23"/>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15日内实质性维修修复</w:t>
            </w:r>
          </w:p>
          <w:p w14:paraId="37ECA136">
            <w:pPr>
              <w:pStyle w:val="23"/>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泄漏点数</w:t>
            </w:r>
          </w:p>
        </w:tc>
        <w:tc>
          <w:tcPr>
            <w:tcW w:w="1275" w:type="dxa"/>
            <w:noWrap/>
            <w:vAlign w:val="center"/>
          </w:tcPr>
          <w:p w14:paraId="20095A37">
            <w:pPr>
              <w:pStyle w:val="23"/>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至今修复泄漏点数</w:t>
            </w:r>
          </w:p>
        </w:tc>
        <w:tc>
          <w:tcPr>
            <w:tcW w:w="2276" w:type="dxa"/>
            <w:noWrap/>
            <w:vAlign w:val="center"/>
          </w:tcPr>
          <w:p w14:paraId="66A24A34">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除已修复的泄漏点,</w:t>
            </w:r>
          </w:p>
          <w:p w14:paraId="3B16F4B4">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6个月内计划</w:t>
            </w:r>
          </w:p>
          <w:p w14:paraId="5378D53F">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修复的泄漏点数</w:t>
            </w:r>
          </w:p>
        </w:tc>
      </w:tr>
      <w:tr w14:paraId="61A330D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3623E883">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泵</w:t>
            </w:r>
          </w:p>
        </w:tc>
        <w:tc>
          <w:tcPr>
            <w:tcW w:w="1135" w:type="dxa"/>
            <w:noWrap/>
            <w:vAlign w:val="center"/>
          </w:tcPr>
          <w:p w14:paraId="6E2D302A">
            <w:pPr>
              <w:keepNext w:val="0"/>
              <w:keepLines w:val="0"/>
              <w:widowControl/>
              <w:suppressLineNumbers w:val="0"/>
              <w:jc w:val="center"/>
              <w:textAlignment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c>
          <w:tcPr>
            <w:tcW w:w="1377" w:type="dxa"/>
            <w:noWrap/>
            <w:vAlign w:val="center"/>
          </w:tcPr>
          <w:p w14:paraId="35E59B83">
            <w:pPr>
              <w:pStyle w:val="23"/>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14:paraId="33601562">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c>
          <w:tcPr>
            <w:tcW w:w="892" w:type="dxa"/>
            <w:noWrap/>
            <w:vAlign w:val="center"/>
          </w:tcPr>
          <w:p w14:paraId="18F8F94D">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14:paraId="7C0A32FF">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14:paraId="69F78F9B">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14:paraId="025F538D">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14:paraId="5735243E">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14:paraId="1CDA54A2">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r>
      <w:tr w14:paraId="3ECFB85B">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2A94B68D">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阀门</w:t>
            </w:r>
          </w:p>
        </w:tc>
        <w:tc>
          <w:tcPr>
            <w:tcW w:w="1135" w:type="dxa"/>
            <w:noWrap/>
            <w:vAlign w:val="center"/>
          </w:tcPr>
          <w:p w14:paraId="43F46C7F">
            <w:pPr>
              <w:keepNext w:val="0"/>
              <w:keepLines w:val="0"/>
              <w:widowControl/>
              <w:suppressLineNumbers w:val="0"/>
              <w:jc w:val="center"/>
              <w:textAlignment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337</w:t>
            </w:r>
          </w:p>
        </w:tc>
        <w:tc>
          <w:tcPr>
            <w:tcW w:w="1377" w:type="dxa"/>
            <w:noWrap/>
            <w:vAlign w:val="center"/>
          </w:tcPr>
          <w:p w14:paraId="77E7DF1D">
            <w:pPr>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14:paraId="578E2EC5">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337</w:t>
            </w:r>
          </w:p>
        </w:tc>
        <w:tc>
          <w:tcPr>
            <w:tcW w:w="892" w:type="dxa"/>
            <w:noWrap/>
            <w:vAlign w:val="center"/>
          </w:tcPr>
          <w:p w14:paraId="24D9BF64">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14:paraId="568149CF">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14:paraId="3EDC9589">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14:paraId="6918F25B">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14:paraId="56681AFA">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14:paraId="46184261">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r>
      <w:tr w14:paraId="47A88529">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0A321D95">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法兰</w:t>
            </w:r>
          </w:p>
        </w:tc>
        <w:tc>
          <w:tcPr>
            <w:tcW w:w="1135" w:type="dxa"/>
            <w:noWrap/>
            <w:vAlign w:val="center"/>
          </w:tcPr>
          <w:p w14:paraId="503F0985">
            <w:pPr>
              <w:keepNext w:val="0"/>
              <w:keepLines w:val="0"/>
              <w:widowControl/>
              <w:suppressLineNumbers w:val="0"/>
              <w:jc w:val="center"/>
              <w:textAlignment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c>
          <w:tcPr>
            <w:tcW w:w="1377" w:type="dxa"/>
            <w:noWrap/>
            <w:vAlign w:val="center"/>
          </w:tcPr>
          <w:p w14:paraId="34814F4B">
            <w:pPr>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14:paraId="3A381013">
            <w:pPr>
              <w:keepNext w:val="0"/>
              <w:keepLines w:val="0"/>
              <w:widowControl/>
              <w:suppressLineNumbers w:val="0"/>
              <w:jc w:val="center"/>
              <w:textAlignment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c>
          <w:tcPr>
            <w:tcW w:w="892" w:type="dxa"/>
            <w:noWrap/>
            <w:vAlign w:val="center"/>
          </w:tcPr>
          <w:p w14:paraId="24C6C821">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14:paraId="75207689">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14:paraId="055DF449">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14:paraId="4ACA2868">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14:paraId="10198454">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14:paraId="069A3ABF">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r>
      <w:tr w14:paraId="663FFAC7">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417D8AD2">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搅拌器</w:t>
            </w:r>
          </w:p>
        </w:tc>
        <w:tc>
          <w:tcPr>
            <w:tcW w:w="1135" w:type="dxa"/>
            <w:noWrap/>
            <w:vAlign w:val="center"/>
          </w:tcPr>
          <w:p w14:paraId="1F1077A7">
            <w:pPr>
              <w:keepNext w:val="0"/>
              <w:keepLines w:val="0"/>
              <w:widowControl/>
              <w:suppressLineNumbers w:val="0"/>
              <w:jc w:val="center"/>
              <w:textAlignment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18</w:t>
            </w:r>
          </w:p>
        </w:tc>
        <w:tc>
          <w:tcPr>
            <w:tcW w:w="1377" w:type="dxa"/>
            <w:noWrap/>
            <w:vAlign w:val="center"/>
          </w:tcPr>
          <w:p w14:paraId="59C85424">
            <w:pPr>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14:paraId="045CF058">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18</w:t>
            </w:r>
          </w:p>
        </w:tc>
        <w:tc>
          <w:tcPr>
            <w:tcW w:w="892" w:type="dxa"/>
            <w:noWrap/>
            <w:vAlign w:val="center"/>
          </w:tcPr>
          <w:p w14:paraId="1A369BA9">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14:paraId="62DADB69">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14:paraId="6E403406">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14:paraId="10F777CB">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14:paraId="521D16FE">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14:paraId="677E1545">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r>
      <w:tr w14:paraId="322625C0">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1AF9FF4C">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开口阀或开口管线</w:t>
            </w:r>
          </w:p>
        </w:tc>
        <w:tc>
          <w:tcPr>
            <w:tcW w:w="1135" w:type="dxa"/>
            <w:noWrap/>
            <w:vAlign w:val="center"/>
          </w:tcPr>
          <w:p w14:paraId="55DDB0A7">
            <w:pPr>
              <w:keepNext w:val="0"/>
              <w:keepLines w:val="0"/>
              <w:widowControl/>
              <w:suppressLineNumbers w:val="0"/>
              <w:jc w:val="center"/>
              <w:textAlignment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18</w:t>
            </w:r>
          </w:p>
        </w:tc>
        <w:tc>
          <w:tcPr>
            <w:tcW w:w="1377" w:type="dxa"/>
            <w:noWrap/>
            <w:vAlign w:val="center"/>
          </w:tcPr>
          <w:p w14:paraId="68FE9205">
            <w:pPr>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14:paraId="6A3CEE7B">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18</w:t>
            </w:r>
          </w:p>
        </w:tc>
        <w:tc>
          <w:tcPr>
            <w:tcW w:w="892" w:type="dxa"/>
            <w:noWrap/>
            <w:vAlign w:val="center"/>
          </w:tcPr>
          <w:p w14:paraId="28EA6847">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14:paraId="2EE6A580">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14:paraId="5D00AF94">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14:paraId="4A94F3DF">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14:paraId="72CB91AA">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14:paraId="638D7D0A">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r>
      <w:tr w14:paraId="35450EF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5F702D29">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连接件</w:t>
            </w:r>
          </w:p>
        </w:tc>
        <w:tc>
          <w:tcPr>
            <w:tcW w:w="1135" w:type="dxa"/>
            <w:noWrap/>
            <w:vAlign w:val="center"/>
          </w:tcPr>
          <w:p w14:paraId="5070E233">
            <w:pPr>
              <w:keepNext w:val="0"/>
              <w:keepLines w:val="0"/>
              <w:widowControl/>
              <w:suppressLineNumbers w:val="0"/>
              <w:jc w:val="center"/>
              <w:textAlignment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c>
          <w:tcPr>
            <w:tcW w:w="1377" w:type="dxa"/>
            <w:noWrap/>
            <w:vAlign w:val="center"/>
          </w:tcPr>
          <w:p w14:paraId="575F0F75">
            <w:pPr>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14:paraId="78BF3B85">
            <w:pPr>
              <w:keepNext w:val="0"/>
              <w:keepLines w:val="0"/>
              <w:widowControl/>
              <w:suppressLineNumbers w:val="0"/>
              <w:jc w:val="center"/>
              <w:textAlignment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c>
          <w:tcPr>
            <w:tcW w:w="892" w:type="dxa"/>
            <w:noWrap/>
            <w:vAlign w:val="center"/>
          </w:tcPr>
          <w:p w14:paraId="099697E6">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14:paraId="7FCA1D0D">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14:paraId="61F3175E">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14:paraId="1C6C6040">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14:paraId="63798546">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14:paraId="426EE87C">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r>
      <w:tr w14:paraId="438D89E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0A1A34B0">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泄压设备</w:t>
            </w:r>
          </w:p>
        </w:tc>
        <w:tc>
          <w:tcPr>
            <w:tcW w:w="1135" w:type="dxa"/>
            <w:noWrap/>
            <w:vAlign w:val="center"/>
          </w:tcPr>
          <w:p w14:paraId="29C0B696">
            <w:pPr>
              <w:keepNext w:val="0"/>
              <w:keepLines w:val="0"/>
              <w:widowControl/>
              <w:suppressLineNumbers w:val="0"/>
              <w:jc w:val="center"/>
              <w:textAlignment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c>
          <w:tcPr>
            <w:tcW w:w="1377" w:type="dxa"/>
            <w:noWrap/>
            <w:vAlign w:val="center"/>
          </w:tcPr>
          <w:p w14:paraId="223DD581">
            <w:pPr>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14:paraId="174676E9">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0</w:t>
            </w:r>
          </w:p>
        </w:tc>
        <w:tc>
          <w:tcPr>
            <w:tcW w:w="892" w:type="dxa"/>
            <w:noWrap/>
            <w:vAlign w:val="center"/>
          </w:tcPr>
          <w:p w14:paraId="4D096C39">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14:paraId="68E116D9">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14:paraId="1DDE37A2">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14:paraId="497608C9">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14:paraId="7896693D">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14:paraId="0EF48C6C">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r>
      <w:tr w14:paraId="5467525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056B7B75">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压缩机</w:t>
            </w:r>
          </w:p>
        </w:tc>
        <w:tc>
          <w:tcPr>
            <w:tcW w:w="1135" w:type="dxa"/>
            <w:noWrap/>
            <w:vAlign w:val="center"/>
          </w:tcPr>
          <w:p w14:paraId="0B64F06F">
            <w:pPr>
              <w:keepNext w:val="0"/>
              <w:keepLines w:val="0"/>
              <w:widowControl/>
              <w:suppressLineNumbers w:val="0"/>
              <w:jc w:val="center"/>
              <w:textAlignment w:val="center"/>
              <w:rPr>
                <w:rFonts w:hint="default"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000000"/>
                <w:sz w:val="21"/>
                <w:szCs w:val="21"/>
                <w:lang w:val="en-US" w:eastAsia="zh-CN" w:bidi="ar-SA"/>
              </w:rPr>
              <w:t>0</w:t>
            </w:r>
          </w:p>
        </w:tc>
        <w:tc>
          <w:tcPr>
            <w:tcW w:w="1377" w:type="dxa"/>
            <w:noWrap/>
            <w:vAlign w:val="center"/>
          </w:tcPr>
          <w:p w14:paraId="4EBF04E8">
            <w:pPr>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14:paraId="0DACE7B5">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000000"/>
                <w:sz w:val="21"/>
                <w:szCs w:val="21"/>
                <w:lang w:val="en-US" w:eastAsia="zh-CN" w:bidi="ar-SA"/>
              </w:rPr>
              <w:t>0</w:t>
            </w:r>
          </w:p>
        </w:tc>
        <w:tc>
          <w:tcPr>
            <w:tcW w:w="892" w:type="dxa"/>
            <w:noWrap/>
            <w:vAlign w:val="center"/>
          </w:tcPr>
          <w:p w14:paraId="74A6EFB6">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14:paraId="1A0EB117">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14:paraId="3072CAC9">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14:paraId="395556F4">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14:paraId="4BF64CEC">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14:paraId="202D3D0E">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46129DEA">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55BF2383">
            <w:pPr>
              <w:pStyle w:val="26"/>
              <w:ind w:firstLine="0" w:firstLineChars="0"/>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其他</w:t>
            </w:r>
          </w:p>
        </w:tc>
        <w:tc>
          <w:tcPr>
            <w:tcW w:w="1135" w:type="dxa"/>
            <w:noWrap/>
            <w:vAlign w:val="center"/>
          </w:tcPr>
          <w:p w14:paraId="2014E445">
            <w:pPr>
              <w:keepNext w:val="0"/>
              <w:keepLines w:val="0"/>
              <w:widowControl/>
              <w:suppressLineNumbers w:val="0"/>
              <w:jc w:val="center"/>
              <w:textAlignment w:val="center"/>
              <w:rPr>
                <w:rFonts w:hint="default"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000000"/>
                <w:sz w:val="21"/>
                <w:szCs w:val="21"/>
                <w:lang w:val="en-US" w:eastAsia="zh-CN" w:bidi="ar-SA"/>
              </w:rPr>
              <w:t>0</w:t>
            </w:r>
          </w:p>
        </w:tc>
        <w:tc>
          <w:tcPr>
            <w:tcW w:w="1377" w:type="dxa"/>
            <w:noWrap/>
            <w:vAlign w:val="center"/>
          </w:tcPr>
          <w:p w14:paraId="6F4EB814">
            <w:pPr>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14:paraId="7F1D4E8E">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000000"/>
                <w:sz w:val="21"/>
                <w:szCs w:val="21"/>
                <w:lang w:val="en-US" w:eastAsia="zh-CN" w:bidi="ar-SA"/>
              </w:rPr>
              <w:t>0</w:t>
            </w:r>
          </w:p>
        </w:tc>
        <w:tc>
          <w:tcPr>
            <w:tcW w:w="892" w:type="dxa"/>
            <w:noWrap/>
            <w:vAlign w:val="center"/>
          </w:tcPr>
          <w:p w14:paraId="3FA5A644">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14:paraId="5EEDBC64">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14:paraId="5B220F88">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14:paraId="5FBCCD08">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14:paraId="78588004">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14:paraId="3E07637B">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2911777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37A4921B">
            <w:pPr>
              <w:pStyle w:val="23"/>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合计</w:t>
            </w:r>
          </w:p>
        </w:tc>
        <w:tc>
          <w:tcPr>
            <w:tcW w:w="1135" w:type="dxa"/>
            <w:noWrap/>
            <w:vAlign w:val="center"/>
          </w:tcPr>
          <w:p w14:paraId="6D69A032">
            <w:pPr>
              <w:keepNext w:val="0"/>
              <w:keepLines w:val="0"/>
              <w:widowControl/>
              <w:suppressLineNumbers w:val="0"/>
              <w:jc w:val="center"/>
              <w:textAlignment w:val="center"/>
              <w:rPr>
                <w:rFonts w:hint="default"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000000"/>
                <w:sz w:val="21"/>
                <w:szCs w:val="21"/>
                <w:lang w:val="en-US" w:eastAsia="zh-CN" w:bidi="ar-SA"/>
              </w:rPr>
              <w:t>373</w:t>
            </w:r>
          </w:p>
        </w:tc>
        <w:tc>
          <w:tcPr>
            <w:tcW w:w="1377" w:type="dxa"/>
            <w:noWrap/>
            <w:vAlign w:val="center"/>
          </w:tcPr>
          <w:p w14:paraId="11FC340E">
            <w:pPr>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14:paraId="4367D6D3">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000000"/>
                <w:sz w:val="21"/>
                <w:szCs w:val="21"/>
                <w:lang w:val="en-US" w:eastAsia="zh-CN" w:bidi="ar-SA"/>
              </w:rPr>
              <w:t>373</w:t>
            </w:r>
          </w:p>
        </w:tc>
        <w:tc>
          <w:tcPr>
            <w:tcW w:w="892" w:type="dxa"/>
            <w:noWrap/>
            <w:vAlign w:val="center"/>
          </w:tcPr>
          <w:p w14:paraId="5D51D2DE">
            <w:pPr>
              <w:spacing w:line="200" w:lineRule="exact"/>
              <w:jc w:val="center"/>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14:paraId="5ED9E051">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14:paraId="17E4F7A9">
            <w:pPr>
              <w:spacing w:line="200" w:lineRule="exact"/>
              <w:jc w:val="center"/>
              <w:rPr>
                <w:rFonts w:hint="eastAsia" w:asciiTheme="majorEastAsia" w:hAnsiTheme="majorEastAsia" w:eastAsiaTheme="majorEastAsia" w:cstheme="majorEastAsia"/>
                <w:sz w:val="24"/>
                <w:szCs w:val="22"/>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14:paraId="1AB7FDFA">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14:paraId="2AC0EC09">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14:paraId="60EE3203">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bl>
    <w:p w14:paraId="1943D235">
      <w:pPr>
        <w:rPr>
          <w:rFonts w:hint="eastAsia" w:asciiTheme="majorEastAsia" w:hAnsiTheme="majorEastAsia" w:eastAsiaTheme="majorEastAsia" w:cstheme="majorEastAsia"/>
          <w:lang w:eastAsia="zh-CN"/>
        </w:rPr>
      </w:pPr>
    </w:p>
    <w:p w14:paraId="5F3F1648">
      <w:pPr>
        <w:rPr>
          <w:rFonts w:hint="eastAsia" w:asciiTheme="majorEastAsia" w:hAnsiTheme="majorEastAsia" w:eastAsiaTheme="majorEastAsia" w:cstheme="majorEastAsia"/>
          <w:lang w:eastAsia="zh-CN"/>
        </w:rPr>
        <w:sectPr>
          <w:headerReference r:id="rId10" w:type="default"/>
          <w:footerReference r:id="rId11" w:type="default"/>
          <w:pgSz w:w="16838" w:h="11906" w:orient="landscape"/>
          <w:pgMar w:top="1134" w:right="1418"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14:paraId="3BDE184C">
      <w:pPr>
        <w:pStyle w:val="4"/>
        <w:numPr>
          <w:ilvl w:val="1"/>
          <w:numId w:val="0"/>
        </w:numPr>
        <w:bidi w:val="0"/>
        <w:ind w:leftChars="0" w:firstLine="3131" w:firstLineChars="1300"/>
        <w:rPr>
          <w:rFonts w:hint="eastAsia" w:asciiTheme="majorEastAsia" w:hAnsiTheme="majorEastAsia" w:eastAsiaTheme="majorEastAsia" w:cstheme="majorEastAsia"/>
          <w:color w:val="auto"/>
          <w:sz w:val="21"/>
          <w:szCs w:val="21"/>
          <w:lang w:val="en-US" w:eastAsia="zh-CN"/>
        </w:rPr>
      </w:pPr>
      <w:bookmarkStart w:id="107" w:name="_Toc21612"/>
      <w:r>
        <w:rPr>
          <w:rFonts w:hint="eastAsia" w:asciiTheme="majorEastAsia" w:hAnsiTheme="majorEastAsia" w:eastAsiaTheme="majorEastAsia" w:cstheme="majorEastAsia"/>
          <w:color w:val="auto"/>
          <w:sz w:val="21"/>
          <w:szCs w:val="21"/>
          <w:lang w:val="en-US" w:eastAsia="zh-CN"/>
        </w:rPr>
        <w:t>表6.2 山东万达化工有限公司ODA二装置LDAR 2024年第三轮统计表</w:t>
      </w:r>
      <w:bookmarkEnd w:id="107"/>
    </w:p>
    <w:p w14:paraId="081DD27A">
      <w:pPr>
        <w:pStyle w:val="23"/>
        <w:jc w:val="right"/>
        <w:outlineLvl w:val="9"/>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2"/>
          <w:sz w:val="21"/>
          <w:szCs w:val="21"/>
          <w:lang w:val="en-US" w:eastAsia="zh-CN" w:bidi="ar-SA"/>
        </w:rPr>
        <w:t>填表日期：2024年09月23日</w:t>
      </w:r>
    </w:p>
    <w:tbl>
      <w:tblPr>
        <w:tblStyle w:val="13"/>
        <w:tblW w:w="4975"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1592"/>
        <w:gridCol w:w="1157"/>
        <w:gridCol w:w="1404"/>
        <w:gridCol w:w="936"/>
        <w:gridCol w:w="909"/>
        <w:gridCol w:w="1364"/>
        <w:gridCol w:w="793"/>
        <w:gridCol w:w="1456"/>
        <w:gridCol w:w="1481"/>
        <w:gridCol w:w="1300"/>
        <w:gridCol w:w="2320"/>
      </w:tblGrid>
      <w:tr w14:paraId="5816CE4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tcBorders>
              <w:top w:val="single" w:color="auto" w:sz="12" w:space="0"/>
            </w:tcBorders>
            <w:noWrap/>
            <w:vAlign w:val="center"/>
          </w:tcPr>
          <w:p w14:paraId="47722976">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装置名称</w:t>
            </w:r>
          </w:p>
        </w:tc>
        <w:tc>
          <w:tcPr>
            <w:tcW w:w="2512" w:type="dxa"/>
            <w:gridSpan w:val="2"/>
            <w:tcBorders>
              <w:top w:val="single" w:color="auto" w:sz="12" w:space="0"/>
            </w:tcBorders>
            <w:noWrap/>
            <w:vAlign w:val="center"/>
          </w:tcPr>
          <w:p w14:paraId="27013578">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ODA二装置</w:t>
            </w:r>
          </w:p>
        </w:tc>
        <w:tc>
          <w:tcPr>
            <w:tcW w:w="1810" w:type="dxa"/>
            <w:gridSpan w:val="2"/>
            <w:tcBorders>
              <w:top w:val="single" w:color="auto" w:sz="12" w:space="0"/>
            </w:tcBorders>
            <w:noWrap/>
            <w:vAlign w:val="center"/>
          </w:tcPr>
          <w:p w14:paraId="7D28AED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装置编码</w:t>
            </w:r>
          </w:p>
        </w:tc>
        <w:tc>
          <w:tcPr>
            <w:tcW w:w="1338" w:type="dxa"/>
            <w:tcBorders>
              <w:top w:val="single" w:color="auto" w:sz="12" w:space="0"/>
            </w:tcBorders>
            <w:noWrap/>
            <w:vAlign w:val="center"/>
          </w:tcPr>
          <w:p w14:paraId="00D75CFA">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XODAE0</w:t>
            </w:r>
          </w:p>
        </w:tc>
        <w:tc>
          <w:tcPr>
            <w:tcW w:w="2206" w:type="dxa"/>
            <w:gridSpan w:val="2"/>
            <w:tcBorders>
              <w:top w:val="single" w:color="auto" w:sz="12" w:space="0"/>
            </w:tcBorders>
            <w:noWrap/>
            <w:vAlign w:val="center"/>
          </w:tcPr>
          <w:p w14:paraId="0F7333C3">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年加工/生产能力</w:t>
            </w:r>
          </w:p>
        </w:tc>
        <w:tc>
          <w:tcPr>
            <w:tcW w:w="5004" w:type="dxa"/>
            <w:gridSpan w:val="3"/>
            <w:tcBorders>
              <w:top w:val="single" w:color="auto" w:sz="12" w:space="0"/>
            </w:tcBorders>
            <w:noWrap/>
            <w:vAlign w:val="center"/>
          </w:tcPr>
          <w:p w14:paraId="1CC95995">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r>
      <w:tr w14:paraId="508D81E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0B695988">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装置初次</w:t>
            </w:r>
          </w:p>
          <w:p w14:paraId="61EB944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开工日期</w:t>
            </w:r>
          </w:p>
        </w:tc>
        <w:tc>
          <w:tcPr>
            <w:tcW w:w="1135" w:type="dxa"/>
            <w:noWrap/>
            <w:vAlign w:val="center"/>
          </w:tcPr>
          <w:p w14:paraId="49F5207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c>
          <w:tcPr>
            <w:tcW w:w="1377" w:type="dxa"/>
            <w:noWrap/>
            <w:vAlign w:val="center"/>
          </w:tcPr>
          <w:p w14:paraId="4BFF33FA">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装置上次停车检修日期</w:t>
            </w:r>
          </w:p>
        </w:tc>
        <w:tc>
          <w:tcPr>
            <w:tcW w:w="5354" w:type="dxa"/>
            <w:gridSpan w:val="5"/>
            <w:noWrap/>
            <w:vAlign w:val="center"/>
          </w:tcPr>
          <w:p w14:paraId="31F2EF43">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c>
          <w:tcPr>
            <w:tcW w:w="1453" w:type="dxa"/>
            <w:noWrap/>
            <w:vAlign w:val="center"/>
          </w:tcPr>
          <w:p w14:paraId="31CF447C">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装置下次停车检修日期</w:t>
            </w:r>
          </w:p>
        </w:tc>
        <w:tc>
          <w:tcPr>
            <w:tcW w:w="3551" w:type="dxa"/>
            <w:gridSpan w:val="2"/>
            <w:noWrap/>
            <w:vAlign w:val="center"/>
          </w:tcPr>
          <w:p w14:paraId="39CEA1EC">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r>
      <w:tr w14:paraId="5790EF8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vMerge w:val="restart"/>
            <w:noWrap/>
            <w:vAlign w:val="center"/>
          </w:tcPr>
          <w:p w14:paraId="23B6F4D9">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密封点类别</w:t>
            </w:r>
          </w:p>
        </w:tc>
        <w:tc>
          <w:tcPr>
            <w:tcW w:w="2512" w:type="dxa"/>
            <w:gridSpan w:val="2"/>
            <w:noWrap/>
            <w:vAlign w:val="center"/>
          </w:tcPr>
          <w:p w14:paraId="106B2CC3">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项目建立</w:t>
            </w:r>
          </w:p>
        </w:tc>
        <w:tc>
          <w:tcPr>
            <w:tcW w:w="3926" w:type="dxa"/>
            <w:gridSpan w:val="4"/>
            <w:noWrap/>
            <w:vAlign w:val="center"/>
          </w:tcPr>
          <w:p w14:paraId="2850AD23">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现场检测</w:t>
            </w:r>
          </w:p>
        </w:tc>
        <w:tc>
          <w:tcPr>
            <w:tcW w:w="6432" w:type="dxa"/>
            <w:gridSpan w:val="4"/>
            <w:noWrap/>
            <w:vAlign w:val="center"/>
          </w:tcPr>
          <w:p w14:paraId="69E9C8D5">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泄漏维修</w:t>
            </w:r>
          </w:p>
        </w:tc>
      </w:tr>
      <w:tr w14:paraId="61CE706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vMerge w:val="continue"/>
            <w:noWrap/>
            <w:vAlign w:val="center"/>
          </w:tcPr>
          <w:p w14:paraId="1EE823A2">
            <w:pPr>
              <w:pStyle w:val="23"/>
              <w:rPr>
                <w:rFonts w:hint="eastAsia" w:asciiTheme="majorEastAsia" w:hAnsiTheme="majorEastAsia" w:eastAsiaTheme="majorEastAsia" w:cstheme="majorEastAsia"/>
                <w:color w:val="auto"/>
                <w:sz w:val="21"/>
                <w:szCs w:val="21"/>
                <w:lang w:val="en-US" w:eastAsia="zh-CN"/>
              </w:rPr>
            </w:pPr>
          </w:p>
        </w:tc>
        <w:tc>
          <w:tcPr>
            <w:tcW w:w="1135" w:type="dxa"/>
            <w:noWrap/>
            <w:vAlign w:val="center"/>
          </w:tcPr>
          <w:p w14:paraId="5BEB5C5A">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受控密封点数</w:t>
            </w:r>
          </w:p>
        </w:tc>
        <w:tc>
          <w:tcPr>
            <w:tcW w:w="1377" w:type="dxa"/>
            <w:noWrap/>
            <w:vAlign w:val="center"/>
          </w:tcPr>
          <w:p w14:paraId="427A6CE8">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不可达密封点数</w:t>
            </w:r>
          </w:p>
        </w:tc>
        <w:tc>
          <w:tcPr>
            <w:tcW w:w="918" w:type="dxa"/>
            <w:noWrap/>
            <w:vAlign w:val="center"/>
          </w:tcPr>
          <w:p w14:paraId="26959FE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检测密封点数</w:t>
            </w:r>
          </w:p>
        </w:tc>
        <w:tc>
          <w:tcPr>
            <w:tcW w:w="892" w:type="dxa"/>
            <w:noWrap/>
            <w:vAlign w:val="center"/>
          </w:tcPr>
          <w:p w14:paraId="0EDEC3EC">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泄漏密封点数</w:t>
            </w:r>
          </w:p>
        </w:tc>
        <w:tc>
          <w:tcPr>
            <w:tcW w:w="2116" w:type="dxa"/>
            <w:gridSpan w:val="2"/>
            <w:noWrap/>
            <w:vAlign w:val="center"/>
          </w:tcPr>
          <w:p w14:paraId="1835DA0E">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泄漏检测值达到或超过10000μmol/mol的泄漏点数</w:t>
            </w:r>
          </w:p>
        </w:tc>
        <w:tc>
          <w:tcPr>
            <w:tcW w:w="1428" w:type="dxa"/>
            <w:noWrap/>
            <w:vAlign w:val="center"/>
          </w:tcPr>
          <w:p w14:paraId="5EF34810">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5日内首次维修修复密封点数</w:t>
            </w:r>
          </w:p>
        </w:tc>
        <w:tc>
          <w:tcPr>
            <w:tcW w:w="1453" w:type="dxa"/>
            <w:noWrap/>
            <w:vAlign w:val="center"/>
          </w:tcPr>
          <w:p w14:paraId="383A6EE6">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15日内实质性维修修复</w:t>
            </w:r>
          </w:p>
          <w:p w14:paraId="7D2F48E1">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泄漏点数</w:t>
            </w:r>
          </w:p>
        </w:tc>
        <w:tc>
          <w:tcPr>
            <w:tcW w:w="1275" w:type="dxa"/>
            <w:noWrap/>
            <w:vAlign w:val="center"/>
          </w:tcPr>
          <w:p w14:paraId="0613ED6E">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至今修复泄漏点数</w:t>
            </w:r>
          </w:p>
        </w:tc>
        <w:tc>
          <w:tcPr>
            <w:tcW w:w="2276" w:type="dxa"/>
            <w:noWrap/>
            <w:vAlign w:val="center"/>
          </w:tcPr>
          <w:p w14:paraId="5C929556">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除已修复的泄漏点,</w:t>
            </w:r>
          </w:p>
          <w:p w14:paraId="6E49D74A">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6个月内计划</w:t>
            </w:r>
          </w:p>
          <w:p w14:paraId="04978EC5">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修复的泄漏点数</w:t>
            </w:r>
          </w:p>
        </w:tc>
      </w:tr>
      <w:tr w14:paraId="32EA77D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6EA03481">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泵</w:t>
            </w:r>
          </w:p>
        </w:tc>
        <w:tc>
          <w:tcPr>
            <w:tcW w:w="1135" w:type="dxa"/>
            <w:noWrap/>
            <w:vAlign w:val="center"/>
          </w:tcPr>
          <w:p w14:paraId="3FD3DA90">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w:t>
            </w:r>
          </w:p>
        </w:tc>
        <w:tc>
          <w:tcPr>
            <w:tcW w:w="1377" w:type="dxa"/>
            <w:noWrap/>
            <w:vAlign w:val="center"/>
          </w:tcPr>
          <w:p w14:paraId="417EC982">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14:paraId="67531F38">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w:t>
            </w:r>
          </w:p>
        </w:tc>
        <w:tc>
          <w:tcPr>
            <w:tcW w:w="892" w:type="dxa"/>
            <w:noWrap/>
            <w:vAlign w:val="center"/>
          </w:tcPr>
          <w:p w14:paraId="08669A79">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14:paraId="64A04C88">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14:paraId="7A41AAA5">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14:paraId="27437909">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14:paraId="7D3DF1F7">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14:paraId="22CC0E19">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78B39898">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2A2BF2C7">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阀门</w:t>
            </w:r>
          </w:p>
        </w:tc>
        <w:tc>
          <w:tcPr>
            <w:tcW w:w="1135" w:type="dxa"/>
            <w:noWrap/>
            <w:vAlign w:val="center"/>
          </w:tcPr>
          <w:p w14:paraId="129E97DC">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758</w:t>
            </w:r>
          </w:p>
        </w:tc>
        <w:tc>
          <w:tcPr>
            <w:tcW w:w="1377" w:type="dxa"/>
            <w:noWrap/>
            <w:vAlign w:val="center"/>
          </w:tcPr>
          <w:p w14:paraId="7C2F091F">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25</w:t>
            </w:r>
          </w:p>
        </w:tc>
        <w:tc>
          <w:tcPr>
            <w:tcW w:w="918" w:type="dxa"/>
            <w:noWrap/>
            <w:vAlign w:val="center"/>
          </w:tcPr>
          <w:p w14:paraId="530A6BB7">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733</w:t>
            </w:r>
          </w:p>
        </w:tc>
        <w:tc>
          <w:tcPr>
            <w:tcW w:w="892" w:type="dxa"/>
            <w:noWrap/>
            <w:vAlign w:val="center"/>
          </w:tcPr>
          <w:p w14:paraId="524186E1">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14:paraId="54E12DBC">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14:paraId="416951A0">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14:paraId="749B25AA">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14:paraId="50605912">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14:paraId="23F14BC2">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565E7B5A">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0327E111">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法兰</w:t>
            </w:r>
          </w:p>
        </w:tc>
        <w:tc>
          <w:tcPr>
            <w:tcW w:w="1135" w:type="dxa"/>
            <w:noWrap/>
            <w:vAlign w:val="center"/>
          </w:tcPr>
          <w:p w14:paraId="1CD656C3">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77" w:type="dxa"/>
            <w:noWrap/>
            <w:vAlign w:val="center"/>
          </w:tcPr>
          <w:p w14:paraId="6E323D6E">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14:paraId="5373A522">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892" w:type="dxa"/>
            <w:noWrap/>
            <w:vAlign w:val="center"/>
          </w:tcPr>
          <w:p w14:paraId="12C002F6">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14:paraId="656B8FA8">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14:paraId="42D5708C">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14:paraId="25673CB5">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14:paraId="221CE62C">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14:paraId="0FB8233C">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59CBAB4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245823CD">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搅拌器</w:t>
            </w:r>
          </w:p>
        </w:tc>
        <w:tc>
          <w:tcPr>
            <w:tcW w:w="1135" w:type="dxa"/>
            <w:noWrap/>
            <w:vAlign w:val="center"/>
          </w:tcPr>
          <w:p w14:paraId="57CA5879">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18</w:t>
            </w:r>
          </w:p>
        </w:tc>
        <w:tc>
          <w:tcPr>
            <w:tcW w:w="1377" w:type="dxa"/>
            <w:noWrap/>
            <w:vAlign w:val="center"/>
          </w:tcPr>
          <w:p w14:paraId="5B27D721">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14:paraId="46EFFBEC">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18</w:t>
            </w:r>
          </w:p>
        </w:tc>
        <w:tc>
          <w:tcPr>
            <w:tcW w:w="892" w:type="dxa"/>
            <w:noWrap/>
            <w:vAlign w:val="center"/>
          </w:tcPr>
          <w:p w14:paraId="0DF5AF90">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14:paraId="3B30CEDD">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14:paraId="61D40451">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14:paraId="51C33057">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14:paraId="777F7AE4">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14:paraId="12FC607D">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589F68B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44653A62">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开口阀或开口管线</w:t>
            </w:r>
          </w:p>
        </w:tc>
        <w:tc>
          <w:tcPr>
            <w:tcW w:w="1135" w:type="dxa"/>
            <w:noWrap/>
            <w:vAlign w:val="center"/>
          </w:tcPr>
          <w:p w14:paraId="324A241D">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74</w:t>
            </w:r>
          </w:p>
        </w:tc>
        <w:tc>
          <w:tcPr>
            <w:tcW w:w="1377" w:type="dxa"/>
            <w:noWrap/>
            <w:vAlign w:val="center"/>
          </w:tcPr>
          <w:p w14:paraId="5C80B782">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6</w:t>
            </w:r>
          </w:p>
        </w:tc>
        <w:tc>
          <w:tcPr>
            <w:tcW w:w="918" w:type="dxa"/>
            <w:noWrap/>
            <w:vAlign w:val="center"/>
          </w:tcPr>
          <w:p w14:paraId="4A683597">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68</w:t>
            </w:r>
          </w:p>
        </w:tc>
        <w:tc>
          <w:tcPr>
            <w:tcW w:w="892" w:type="dxa"/>
            <w:noWrap/>
            <w:vAlign w:val="center"/>
          </w:tcPr>
          <w:p w14:paraId="52D1A1D5">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w:t>
            </w:r>
          </w:p>
        </w:tc>
        <w:tc>
          <w:tcPr>
            <w:tcW w:w="2116" w:type="dxa"/>
            <w:gridSpan w:val="2"/>
            <w:noWrap/>
            <w:vAlign w:val="center"/>
          </w:tcPr>
          <w:p w14:paraId="58C0FA4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14:paraId="07743D95">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w:t>
            </w:r>
          </w:p>
        </w:tc>
        <w:tc>
          <w:tcPr>
            <w:tcW w:w="1453" w:type="dxa"/>
            <w:noWrap/>
            <w:vAlign w:val="center"/>
          </w:tcPr>
          <w:p w14:paraId="6AEDA0AD">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14:paraId="406444A0">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w:t>
            </w:r>
          </w:p>
        </w:tc>
        <w:tc>
          <w:tcPr>
            <w:tcW w:w="2276" w:type="dxa"/>
            <w:noWrap/>
            <w:vAlign w:val="center"/>
          </w:tcPr>
          <w:p w14:paraId="521EDF08">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3E6C62F0">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4B62F866">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连接件</w:t>
            </w:r>
          </w:p>
        </w:tc>
        <w:tc>
          <w:tcPr>
            <w:tcW w:w="1135" w:type="dxa"/>
            <w:noWrap/>
            <w:vAlign w:val="center"/>
          </w:tcPr>
          <w:p w14:paraId="06D62A37">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77" w:type="dxa"/>
            <w:noWrap/>
            <w:vAlign w:val="center"/>
          </w:tcPr>
          <w:p w14:paraId="5F541ACC">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14:paraId="1DC42132">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892" w:type="dxa"/>
            <w:noWrap/>
            <w:vAlign w:val="center"/>
          </w:tcPr>
          <w:p w14:paraId="55475A2C">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14:paraId="6BEA9442">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14:paraId="04361EA4">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14:paraId="4E601D95">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14:paraId="06960F7C">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14:paraId="40EB6597">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398A4FF1">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3DC876DE">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泄压设备</w:t>
            </w:r>
          </w:p>
        </w:tc>
        <w:tc>
          <w:tcPr>
            <w:tcW w:w="1135" w:type="dxa"/>
            <w:noWrap/>
            <w:vAlign w:val="center"/>
          </w:tcPr>
          <w:p w14:paraId="2EE4A11A">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77" w:type="dxa"/>
            <w:noWrap/>
            <w:vAlign w:val="center"/>
          </w:tcPr>
          <w:p w14:paraId="51E5D56E">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14:paraId="64F37B6A">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892" w:type="dxa"/>
            <w:noWrap/>
            <w:vAlign w:val="center"/>
          </w:tcPr>
          <w:p w14:paraId="321D87B1">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14:paraId="68C2D179">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14:paraId="18036FDC">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14:paraId="2AD66FB1">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14:paraId="07752D97">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14:paraId="7D09F6E2">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349D2E8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16CF8479">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压缩机</w:t>
            </w:r>
          </w:p>
        </w:tc>
        <w:tc>
          <w:tcPr>
            <w:tcW w:w="1135" w:type="dxa"/>
            <w:noWrap/>
            <w:vAlign w:val="center"/>
          </w:tcPr>
          <w:p w14:paraId="2B2107E8">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77" w:type="dxa"/>
            <w:noWrap/>
            <w:vAlign w:val="center"/>
          </w:tcPr>
          <w:p w14:paraId="3DD9CD3F">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14:paraId="401881EE">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892" w:type="dxa"/>
            <w:noWrap/>
            <w:vAlign w:val="center"/>
          </w:tcPr>
          <w:p w14:paraId="7E0D1681">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14:paraId="1ED73873">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14:paraId="2EB7665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14:paraId="2F08E64D">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14:paraId="2BD6D17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14:paraId="4ABA94BC">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48AEE8A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0131E8E3">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其他</w:t>
            </w:r>
          </w:p>
        </w:tc>
        <w:tc>
          <w:tcPr>
            <w:tcW w:w="1135" w:type="dxa"/>
            <w:noWrap/>
            <w:vAlign w:val="center"/>
          </w:tcPr>
          <w:p w14:paraId="1E34F938">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77" w:type="dxa"/>
            <w:noWrap/>
            <w:vAlign w:val="center"/>
          </w:tcPr>
          <w:p w14:paraId="665662AD">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14:paraId="0EA9B354">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892" w:type="dxa"/>
            <w:noWrap/>
            <w:vAlign w:val="center"/>
          </w:tcPr>
          <w:p w14:paraId="7E1628F4">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14:paraId="28FC8FB8">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14:paraId="4E67F1E7">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14:paraId="5761CA55">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14:paraId="05AF5073">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14:paraId="4B97C1A2">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2328FB1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0A34C103">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合计</w:t>
            </w:r>
          </w:p>
        </w:tc>
        <w:tc>
          <w:tcPr>
            <w:tcW w:w="1135" w:type="dxa"/>
            <w:noWrap/>
            <w:vAlign w:val="center"/>
          </w:tcPr>
          <w:p w14:paraId="1C3ADF94">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851</w:t>
            </w:r>
          </w:p>
        </w:tc>
        <w:tc>
          <w:tcPr>
            <w:tcW w:w="1377" w:type="dxa"/>
            <w:noWrap/>
            <w:vAlign w:val="center"/>
          </w:tcPr>
          <w:p w14:paraId="74E3F016">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31</w:t>
            </w:r>
          </w:p>
        </w:tc>
        <w:tc>
          <w:tcPr>
            <w:tcW w:w="918" w:type="dxa"/>
            <w:noWrap/>
            <w:vAlign w:val="center"/>
          </w:tcPr>
          <w:p w14:paraId="2815389E">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820</w:t>
            </w:r>
          </w:p>
        </w:tc>
        <w:tc>
          <w:tcPr>
            <w:tcW w:w="892" w:type="dxa"/>
            <w:noWrap/>
            <w:vAlign w:val="center"/>
          </w:tcPr>
          <w:p w14:paraId="77E2D50C">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w:t>
            </w:r>
          </w:p>
        </w:tc>
        <w:tc>
          <w:tcPr>
            <w:tcW w:w="2116" w:type="dxa"/>
            <w:gridSpan w:val="2"/>
            <w:noWrap/>
            <w:vAlign w:val="center"/>
          </w:tcPr>
          <w:p w14:paraId="4C4FF7C6">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14:paraId="3263464F">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w:t>
            </w:r>
          </w:p>
        </w:tc>
        <w:tc>
          <w:tcPr>
            <w:tcW w:w="1453" w:type="dxa"/>
            <w:noWrap/>
            <w:vAlign w:val="center"/>
          </w:tcPr>
          <w:p w14:paraId="54C446F2">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14:paraId="40ECF226">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w:t>
            </w:r>
          </w:p>
        </w:tc>
        <w:tc>
          <w:tcPr>
            <w:tcW w:w="2276" w:type="dxa"/>
            <w:noWrap/>
            <w:vAlign w:val="center"/>
          </w:tcPr>
          <w:p w14:paraId="24D3C100">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bl>
    <w:p w14:paraId="27D651DA">
      <w:pPr>
        <w:pStyle w:val="4"/>
        <w:numPr>
          <w:ilvl w:val="1"/>
          <w:numId w:val="0"/>
        </w:numPr>
        <w:bidi w:val="0"/>
        <w:ind w:leftChars="0" w:firstLine="3131" w:firstLineChars="1300"/>
        <w:rPr>
          <w:rFonts w:hint="eastAsia" w:asciiTheme="majorEastAsia" w:hAnsiTheme="majorEastAsia" w:eastAsiaTheme="majorEastAsia" w:cstheme="majorEastAsia"/>
          <w:color w:val="FF0000"/>
          <w:sz w:val="21"/>
          <w:szCs w:val="21"/>
          <w:lang w:val="en-US" w:eastAsia="zh-CN"/>
        </w:rPr>
      </w:pPr>
      <w:bookmarkStart w:id="108" w:name="_Toc21971"/>
      <w:r>
        <w:rPr>
          <w:rFonts w:hint="eastAsia" w:asciiTheme="majorEastAsia" w:hAnsiTheme="majorEastAsia" w:eastAsiaTheme="majorEastAsia" w:cstheme="majorEastAsia"/>
          <w:color w:val="auto"/>
          <w:sz w:val="21"/>
          <w:szCs w:val="21"/>
          <w:lang w:val="en-US" w:eastAsia="zh-CN"/>
        </w:rPr>
        <w:t>表6.3 山东万达化工有限公司储运装</w:t>
      </w:r>
      <w:r>
        <w:rPr>
          <w:rFonts w:hint="eastAsia" w:asciiTheme="majorEastAsia" w:hAnsiTheme="majorEastAsia" w:eastAsiaTheme="majorEastAsia" w:cstheme="majorEastAsia"/>
          <w:sz w:val="21"/>
          <w:szCs w:val="21"/>
          <w:lang w:val="en-US" w:eastAsia="zh-CN"/>
        </w:rPr>
        <w:t>置LDAR 2024年第三轮统计表</w:t>
      </w:r>
      <w:bookmarkEnd w:id="108"/>
    </w:p>
    <w:p w14:paraId="71070F24">
      <w:pPr>
        <w:pStyle w:val="23"/>
        <w:jc w:val="right"/>
        <w:outlineLvl w:val="9"/>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2"/>
          <w:sz w:val="21"/>
          <w:szCs w:val="21"/>
          <w:lang w:val="en-US" w:eastAsia="zh-CN" w:bidi="ar-SA"/>
        </w:rPr>
        <w:t xml:space="preserve">  填表日期：2024年09月23日</w:t>
      </w:r>
    </w:p>
    <w:tbl>
      <w:tblPr>
        <w:tblStyle w:val="13"/>
        <w:tblW w:w="4974"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1592"/>
        <w:gridCol w:w="1157"/>
        <w:gridCol w:w="1404"/>
        <w:gridCol w:w="936"/>
        <w:gridCol w:w="909"/>
        <w:gridCol w:w="1364"/>
        <w:gridCol w:w="793"/>
        <w:gridCol w:w="1456"/>
        <w:gridCol w:w="1481"/>
        <w:gridCol w:w="1300"/>
        <w:gridCol w:w="2320"/>
      </w:tblGrid>
      <w:tr w14:paraId="3F6E696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tcBorders>
              <w:top w:val="single" w:color="auto" w:sz="12" w:space="0"/>
            </w:tcBorders>
            <w:noWrap/>
            <w:vAlign w:val="center"/>
          </w:tcPr>
          <w:p w14:paraId="3863705A">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装置名称</w:t>
            </w:r>
          </w:p>
        </w:tc>
        <w:tc>
          <w:tcPr>
            <w:tcW w:w="2561" w:type="dxa"/>
            <w:gridSpan w:val="2"/>
            <w:tcBorders>
              <w:top w:val="single" w:color="auto" w:sz="12" w:space="0"/>
            </w:tcBorders>
            <w:noWrap/>
            <w:vAlign w:val="center"/>
          </w:tcPr>
          <w:p w14:paraId="35B983DC">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储运装置</w:t>
            </w:r>
          </w:p>
        </w:tc>
        <w:tc>
          <w:tcPr>
            <w:tcW w:w="1845" w:type="dxa"/>
            <w:gridSpan w:val="2"/>
            <w:tcBorders>
              <w:top w:val="single" w:color="auto" w:sz="12" w:space="0"/>
            </w:tcBorders>
            <w:noWrap/>
            <w:vAlign w:val="center"/>
          </w:tcPr>
          <w:p w14:paraId="2B491443">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装置编码</w:t>
            </w:r>
          </w:p>
        </w:tc>
        <w:tc>
          <w:tcPr>
            <w:tcW w:w="1364" w:type="dxa"/>
            <w:tcBorders>
              <w:top w:val="single" w:color="auto" w:sz="12" w:space="0"/>
            </w:tcBorders>
            <w:noWrap/>
            <w:vAlign w:val="center"/>
          </w:tcPr>
          <w:p w14:paraId="2775D9C7">
            <w:pPr>
              <w:pStyle w:val="23"/>
              <w:rPr>
                <w:rFonts w:hint="eastAsia" w:asciiTheme="majorEastAsia" w:hAnsiTheme="majorEastAsia" w:eastAsiaTheme="majorEastAsia" w:cstheme="majorEastAsia"/>
                <w:color w:val="auto"/>
                <w:sz w:val="21"/>
                <w:szCs w:val="21"/>
                <w:lang w:val="en-US"/>
              </w:rPr>
            </w:pPr>
            <w:r>
              <w:rPr>
                <w:rFonts w:hint="eastAsia" w:asciiTheme="majorEastAsia" w:hAnsiTheme="majorEastAsia" w:eastAsiaTheme="majorEastAsia" w:cstheme="majorEastAsia"/>
                <w:color w:val="auto"/>
                <w:sz w:val="21"/>
                <w:szCs w:val="21"/>
                <w:lang w:val="en-US" w:eastAsia="zh-CN"/>
              </w:rPr>
              <w:t>XXXZG0</w:t>
            </w:r>
          </w:p>
        </w:tc>
        <w:tc>
          <w:tcPr>
            <w:tcW w:w="2249" w:type="dxa"/>
            <w:gridSpan w:val="2"/>
            <w:tcBorders>
              <w:top w:val="single" w:color="auto" w:sz="12" w:space="0"/>
            </w:tcBorders>
            <w:noWrap/>
            <w:vAlign w:val="center"/>
          </w:tcPr>
          <w:p w14:paraId="45D1F920">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年加工/生产能力</w:t>
            </w:r>
          </w:p>
        </w:tc>
        <w:tc>
          <w:tcPr>
            <w:tcW w:w="5101" w:type="dxa"/>
            <w:gridSpan w:val="3"/>
            <w:tcBorders>
              <w:top w:val="single" w:color="auto" w:sz="12" w:space="0"/>
            </w:tcBorders>
            <w:noWrap/>
            <w:vAlign w:val="center"/>
          </w:tcPr>
          <w:p w14:paraId="275EC88C">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r>
      <w:tr w14:paraId="573ABC29">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noWrap/>
            <w:vAlign w:val="center"/>
          </w:tcPr>
          <w:p w14:paraId="6898D086">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装置初次</w:t>
            </w:r>
          </w:p>
          <w:p w14:paraId="553F62C0">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开工日期</w:t>
            </w:r>
          </w:p>
        </w:tc>
        <w:tc>
          <w:tcPr>
            <w:tcW w:w="1157" w:type="dxa"/>
            <w:noWrap/>
            <w:vAlign w:val="center"/>
          </w:tcPr>
          <w:p w14:paraId="5BE05037">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p>
        </w:tc>
        <w:tc>
          <w:tcPr>
            <w:tcW w:w="1404" w:type="dxa"/>
            <w:noWrap/>
            <w:vAlign w:val="center"/>
          </w:tcPr>
          <w:p w14:paraId="268D202C">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装置上次停车检修日期</w:t>
            </w:r>
          </w:p>
        </w:tc>
        <w:tc>
          <w:tcPr>
            <w:tcW w:w="5458" w:type="dxa"/>
            <w:gridSpan w:val="5"/>
            <w:noWrap/>
            <w:vAlign w:val="center"/>
          </w:tcPr>
          <w:p w14:paraId="79F60DF6">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p>
        </w:tc>
        <w:tc>
          <w:tcPr>
            <w:tcW w:w="1481" w:type="dxa"/>
            <w:noWrap/>
            <w:vAlign w:val="center"/>
          </w:tcPr>
          <w:p w14:paraId="1B492617">
            <w:pPr>
              <w:pStyle w:val="23"/>
              <w:rPr>
                <w:rFonts w:hint="eastAsia" w:asciiTheme="majorEastAsia" w:hAnsiTheme="majorEastAsia" w:eastAsiaTheme="majorEastAsia" w:cstheme="majorEastAsia"/>
                <w:color w:val="auto"/>
                <w:kern w:val="16"/>
                <w:sz w:val="21"/>
                <w:szCs w:val="21"/>
              </w:rPr>
            </w:pPr>
            <w:r>
              <w:rPr>
                <w:rFonts w:hint="eastAsia" w:asciiTheme="majorEastAsia" w:hAnsiTheme="majorEastAsia" w:eastAsiaTheme="majorEastAsia" w:cstheme="majorEastAsia"/>
                <w:color w:val="auto"/>
                <w:sz w:val="21"/>
                <w:szCs w:val="21"/>
              </w:rPr>
              <w:t>装置下次停车检修日期</w:t>
            </w:r>
          </w:p>
        </w:tc>
        <w:tc>
          <w:tcPr>
            <w:tcW w:w="3620" w:type="dxa"/>
            <w:gridSpan w:val="2"/>
            <w:noWrap/>
            <w:vAlign w:val="center"/>
          </w:tcPr>
          <w:p w14:paraId="62AC630F">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p>
        </w:tc>
      </w:tr>
      <w:tr w14:paraId="740648FB">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vMerge w:val="restart"/>
            <w:noWrap/>
            <w:vAlign w:val="center"/>
          </w:tcPr>
          <w:p w14:paraId="5EB7C39D">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密封点类别</w:t>
            </w:r>
          </w:p>
        </w:tc>
        <w:tc>
          <w:tcPr>
            <w:tcW w:w="2561" w:type="dxa"/>
            <w:gridSpan w:val="2"/>
            <w:noWrap/>
            <w:vAlign w:val="center"/>
          </w:tcPr>
          <w:p w14:paraId="34ADE259">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项目建立</w:t>
            </w:r>
          </w:p>
        </w:tc>
        <w:tc>
          <w:tcPr>
            <w:tcW w:w="4002" w:type="dxa"/>
            <w:gridSpan w:val="4"/>
            <w:noWrap/>
            <w:vAlign w:val="center"/>
          </w:tcPr>
          <w:p w14:paraId="42239773">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现场检测</w:t>
            </w:r>
          </w:p>
        </w:tc>
        <w:tc>
          <w:tcPr>
            <w:tcW w:w="6557" w:type="dxa"/>
            <w:gridSpan w:val="4"/>
            <w:noWrap/>
            <w:vAlign w:val="center"/>
          </w:tcPr>
          <w:p w14:paraId="2678692B">
            <w:pPr>
              <w:pStyle w:val="23"/>
              <w:rPr>
                <w:rFonts w:hint="eastAsia" w:asciiTheme="majorEastAsia" w:hAnsiTheme="majorEastAsia" w:eastAsiaTheme="majorEastAsia" w:cstheme="majorEastAsia"/>
                <w:color w:val="auto"/>
                <w:kern w:val="16"/>
                <w:sz w:val="21"/>
                <w:szCs w:val="21"/>
              </w:rPr>
            </w:pPr>
            <w:r>
              <w:rPr>
                <w:rFonts w:hint="eastAsia" w:asciiTheme="majorEastAsia" w:hAnsiTheme="majorEastAsia" w:eastAsiaTheme="majorEastAsia" w:cstheme="majorEastAsia"/>
                <w:color w:val="auto"/>
                <w:sz w:val="21"/>
                <w:szCs w:val="21"/>
              </w:rPr>
              <w:t>泄漏维修</w:t>
            </w:r>
          </w:p>
        </w:tc>
      </w:tr>
      <w:tr w14:paraId="1CE9045B">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vMerge w:val="continue"/>
            <w:noWrap/>
            <w:vAlign w:val="center"/>
          </w:tcPr>
          <w:p w14:paraId="295C8CFC">
            <w:pPr>
              <w:pStyle w:val="23"/>
              <w:rPr>
                <w:rFonts w:hint="eastAsia" w:asciiTheme="majorEastAsia" w:hAnsiTheme="majorEastAsia" w:eastAsiaTheme="majorEastAsia" w:cstheme="majorEastAsia"/>
                <w:color w:val="auto"/>
                <w:sz w:val="21"/>
                <w:szCs w:val="21"/>
              </w:rPr>
            </w:pPr>
          </w:p>
        </w:tc>
        <w:tc>
          <w:tcPr>
            <w:tcW w:w="1157" w:type="dxa"/>
            <w:noWrap/>
            <w:vAlign w:val="center"/>
          </w:tcPr>
          <w:p w14:paraId="670B989A">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受控密封点</w:t>
            </w:r>
            <w:r>
              <w:rPr>
                <w:rFonts w:hint="eastAsia" w:asciiTheme="majorEastAsia" w:hAnsiTheme="majorEastAsia" w:eastAsiaTheme="majorEastAsia" w:cstheme="majorEastAsia"/>
                <w:color w:val="auto"/>
                <w:sz w:val="21"/>
                <w:szCs w:val="21"/>
                <w:lang w:val="en-US" w:eastAsia="zh-CN"/>
              </w:rPr>
              <w:t>数</w:t>
            </w:r>
          </w:p>
        </w:tc>
        <w:tc>
          <w:tcPr>
            <w:tcW w:w="1404" w:type="dxa"/>
            <w:noWrap/>
            <w:vAlign w:val="center"/>
          </w:tcPr>
          <w:p w14:paraId="3E9CC24C">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不可达密封点数</w:t>
            </w:r>
          </w:p>
        </w:tc>
        <w:tc>
          <w:tcPr>
            <w:tcW w:w="936" w:type="dxa"/>
            <w:noWrap/>
            <w:vAlign w:val="center"/>
          </w:tcPr>
          <w:p w14:paraId="3A7B1E6D">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检测密封点数</w:t>
            </w:r>
          </w:p>
        </w:tc>
        <w:tc>
          <w:tcPr>
            <w:tcW w:w="909" w:type="dxa"/>
            <w:noWrap/>
            <w:vAlign w:val="center"/>
          </w:tcPr>
          <w:p w14:paraId="227D9DDB">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泄漏密封点数</w:t>
            </w:r>
          </w:p>
        </w:tc>
        <w:tc>
          <w:tcPr>
            <w:tcW w:w="2157" w:type="dxa"/>
            <w:gridSpan w:val="2"/>
            <w:noWrap/>
            <w:vAlign w:val="center"/>
          </w:tcPr>
          <w:p w14:paraId="65611A4E">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val="0"/>
                <w:bCs w:val="0"/>
                <w:color w:val="auto"/>
                <w:sz w:val="21"/>
                <w:szCs w:val="21"/>
                <w:lang w:val="en-US" w:eastAsia="zh-CN"/>
              </w:rPr>
              <w:t>泄漏检测值达到或超过10000</w:t>
            </w:r>
            <w:r>
              <w:rPr>
                <w:rFonts w:hint="eastAsia" w:asciiTheme="majorEastAsia" w:hAnsiTheme="majorEastAsia" w:eastAsiaTheme="majorEastAsia" w:cstheme="majorEastAsia"/>
                <w:b w:val="0"/>
                <w:bCs w:val="0"/>
                <w:color w:val="auto"/>
                <w:kern w:val="16"/>
                <w:sz w:val="21"/>
                <w:szCs w:val="21"/>
                <w:lang w:val="en-US" w:eastAsia="zh-CN"/>
              </w:rPr>
              <w:t>μmol/mol的泄漏点数</w:t>
            </w:r>
          </w:p>
        </w:tc>
        <w:tc>
          <w:tcPr>
            <w:tcW w:w="1456" w:type="dxa"/>
            <w:noWrap/>
            <w:vAlign w:val="center"/>
          </w:tcPr>
          <w:p w14:paraId="2EB02019">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val="0"/>
                <w:bCs w:val="0"/>
                <w:color w:val="auto"/>
                <w:sz w:val="21"/>
                <w:szCs w:val="21"/>
              </w:rPr>
              <w:t>5日内首次维修修复密封点数</w:t>
            </w:r>
          </w:p>
        </w:tc>
        <w:tc>
          <w:tcPr>
            <w:tcW w:w="1481" w:type="dxa"/>
            <w:noWrap/>
            <w:vAlign w:val="center"/>
          </w:tcPr>
          <w:p w14:paraId="32F9E48A">
            <w:pPr>
              <w:pStyle w:val="23"/>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15日内实质性维修修复</w:t>
            </w:r>
          </w:p>
          <w:p w14:paraId="416F8DBE">
            <w:pPr>
              <w:pStyle w:val="23"/>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泄漏点数</w:t>
            </w:r>
          </w:p>
        </w:tc>
        <w:tc>
          <w:tcPr>
            <w:tcW w:w="1300" w:type="dxa"/>
            <w:noWrap/>
            <w:vAlign w:val="center"/>
          </w:tcPr>
          <w:p w14:paraId="41AE4672">
            <w:pPr>
              <w:pStyle w:val="23"/>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至今修复泄漏点数</w:t>
            </w:r>
          </w:p>
        </w:tc>
        <w:tc>
          <w:tcPr>
            <w:tcW w:w="2320" w:type="dxa"/>
            <w:noWrap/>
            <w:vAlign w:val="center"/>
          </w:tcPr>
          <w:p w14:paraId="7F9770DD">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除已修复的泄漏点,</w:t>
            </w:r>
          </w:p>
          <w:p w14:paraId="02C4C2AA">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6个月内计划</w:t>
            </w:r>
          </w:p>
          <w:p w14:paraId="65553910">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修复的泄漏点数</w:t>
            </w:r>
          </w:p>
        </w:tc>
      </w:tr>
      <w:tr w14:paraId="4FA2474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noWrap/>
            <w:vAlign w:val="center"/>
          </w:tcPr>
          <w:p w14:paraId="32122405">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泵</w:t>
            </w:r>
          </w:p>
        </w:tc>
        <w:tc>
          <w:tcPr>
            <w:tcW w:w="1157" w:type="dxa"/>
            <w:noWrap/>
            <w:vAlign w:val="center"/>
          </w:tcPr>
          <w:p w14:paraId="4F59559A">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4</w:t>
            </w:r>
          </w:p>
        </w:tc>
        <w:tc>
          <w:tcPr>
            <w:tcW w:w="1404" w:type="dxa"/>
            <w:noWrap/>
            <w:vAlign w:val="center"/>
          </w:tcPr>
          <w:p w14:paraId="57A3F68B">
            <w:pPr>
              <w:pStyle w:val="23"/>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36" w:type="dxa"/>
            <w:noWrap/>
            <w:vAlign w:val="center"/>
          </w:tcPr>
          <w:p w14:paraId="4684D024">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4</w:t>
            </w:r>
          </w:p>
        </w:tc>
        <w:tc>
          <w:tcPr>
            <w:tcW w:w="909" w:type="dxa"/>
            <w:noWrap/>
            <w:vAlign w:val="center"/>
          </w:tcPr>
          <w:p w14:paraId="604C2774">
            <w:pPr>
              <w:spacing w:line="200" w:lineRule="exact"/>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57" w:type="dxa"/>
            <w:gridSpan w:val="2"/>
            <w:noWrap/>
            <w:vAlign w:val="center"/>
          </w:tcPr>
          <w:p w14:paraId="6F78ED07">
            <w:pPr>
              <w:spacing w:line="200" w:lineRule="exact"/>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6" w:type="dxa"/>
            <w:noWrap/>
            <w:vAlign w:val="center"/>
          </w:tcPr>
          <w:p w14:paraId="4329482E">
            <w:pPr>
              <w:spacing w:line="200" w:lineRule="exact"/>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81" w:type="dxa"/>
            <w:noWrap/>
            <w:vAlign w:val="center"/>
          </w:tcPr>
          <w:p w14:paraId="65FEDCAC">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00" w:type="dxa"/>
            <w:noWrap/>
            <w:vAlign w:val="center"/>
          </w:tcPr>
          <w:p w14:paraId="18D72C75">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320" w:type="dxa"/>
            <w:noWrap/>
            <w:vAlign w:val="center"/>
          </w:tcPr>
          <w:p w14:paraId="011B357F">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5EB1DA18">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noWrap/>
            <w:vAlign w:val="center"/>
          </w:tcPr>
          <w:p w14:paraId="4C3FC272">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阀门</w:t>
            </w:r>
          </w:p>
        </w:tc>
        <w:tc>
          <w:tcPr>
            <w:tcW w:w="1157" w:type="dxa"/>
            <w:noWrap/>
            <w:vAlign w:val="center"/>
          </w:tcPr>
          <w:p w14:paraId="4E39C410">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377</w:t>
            </w:r>
          </w:p>
        </w:tc>
        <w:tc>
          <w:tcPr>
            <w:tcW w:w="1404" w:type="dxa"/>
            <w:noWrap/>
            <w:vAlign w:val="center"/>
          </w:tcPr>
          <w:p w14:paraId="0EB98564">
            <w:pPr>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36</w:t>
            </w:r>
          </w:p>
        </w:tc>
        <w:tc>
          <w:tcPr>
            <w:tcW w:w="936" w:type="dxa"/>
            <w:noWrap/>
            <w:vAlign w:val="center"/>
          </w:tcPr>
          <w:p w14:paraId="6C8D6CD2">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341</w:t>
            </w:r>
          </w:p>
        </w:tc>
        <w:tc>
          <w:tcPr>
            <w:tcW w:w="909" w:type="dxa"/>
            <w:noWrap/>
            <w:vAlign w:val="center"/>
          </w:tcPr>
          <w:p w14:paraId="1D11B0C9">
            <w:pPr>
              <w:spacing w:line="200" w:lineRule="exact"/>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57" w:type="dxa"/>
            <w:gridSpan w:val="2"/>
            <w:noWrap/>
            <w:vAlign w:val="center"/>
          </w:tcPr>
          <w:p w14:paraId="3CBD4406">
            <w:pPr>
              <w:spacing w:line="200" w:lineRule="exact"/>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6" w:type="dxa"/>
            <w:noWrap/>
            <w:vAlign w:val="center"/>
          </w:tcPr>
          <w:p w14:paraId="3BAC4004">
            <w:pPr>
              <w:spacing w:line="200" w:lineRule="exact"/>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81" w:type="dxa"/>
            <w:noWrap/>
            <w:vAlign w:val="center"/>
          </w:tcPr>
          <w:p w14:paraId="02D9B2B0">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00" w:type="dxa"/>
            <w:noWrap/>
            <w:vAlign w:val="center"/>
          </w:tcPr>
          <w:p w14:paraId="190D308F">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320" w:type="dxa"/>
            <w:noWrap/>
            <w:vAlign w:val="center"/>
          </w:tcPr>
          <w:p w14:paraId="6A8B35A3">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651219F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noWrap/>
            <w:vAlign w:val="center"/>
          </w:tcPr>
          <w:p w14:paraId="287C00FD">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法兰</w:t>
            </w:r>
          </w:p>
        </w:tc>
        <w:tc>
          <w:tcPr>
            <w:tcW w:w="1157" w:type="dxa"/>
            <w:noWrap/>
            <w:vAlign w:val="center"/>
          </w:tcPr>
          <w:p w14:paraId="3A5A9916">
            <w:pPr>
              <w:keepNext w:val="0"/>
              <w:keepLines w:val="0"/>
              <w:widowControl/>
              <w:suppressLineNumbers w:val="0"/>
              <w:jc w:val="center"/>
              <w:textAlignment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1404" w:type="dxa"/>
            <w:noWrap/>
            <w:vAlign w:val="center"/>
          </w:tcPr>
          <w:p w14:paraId="026A1685">
            <w:pPr>
              <w:jc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36" w:type="dxa"/>
            <w:noWrap/>
            <w:vAlign w:val="center"/>
          </w:tcPr>
          <w:p w14:paraId="3B182F16">
            <w:pPr>
              <w:keepNext w:val="0"/>
              <w:keepLines w:val="0"/>
              <w:widowControl/>
              <w:suppressLineNumbers w:val="0"/>
              <w:jc w:val="center"/>
              <w:textAlignment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909" w:type="dxa"/>
            <w:noWrap/>
            <w:vAlign w:val="center"/>
          </w:tcPr>
          <w:p w14:paraId="05E6BFF7">
            <w:pPr>
              <w:spacing w:line="200" w:lineRule="exact"/>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57" w:type="dxa"/>
            <w:gridSpan w:val="2"/>
            <w:noWrap/>
            <w:vAlign w:val="center"/>
          </w:tcPr>
          <w:p w14:paraId="661EA70C">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6" w:type="dxa"/>
            <w:noWrap/>
            <w:vAlign w:val="center"/>
          </w:tcPr>
          <w:p w14:paraId="66BB59B7">
            <w:pPr>
              <w:spacing w:line="200" w:lineRule="exact"/>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81" w:type="dxa"/>
            <w:noWrap/>
            <w:vAlign w:val="center"/>
          </w:tcPr>
          <w:p w14:paraId="1B5A1234">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00" w:type="dxa"/>
            <w:noWrap/>
            <w:vAlign w:val="center"/>
          </w:tcPr>
          <w:p w14:paraId="3487D252">
            <w:pPr>
              <w:spacing w:line="200" w:lineRule="exact"/>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320" w:type="dxa"/>
            <w:noWrap/>
            <w:vAlign w:val="center"/>
          </w:tcPr>
          <w:p w14:paraId="0A8EBC1D">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3F00EA31">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noWrap/>
            <w:vAlign w:val="center"/>
          </w:tcPr>
          <w:p w14:paraId="5DF81339">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搅拌器</w:t>
            </w:r>
          </w:p>
        </w:tc>
        <w:tc>
          <w:tcPr>
            <w:tcW w:w="1157" w:type="dxa"/>
            <w:noWrap/>
            <w:vAlign w:val="center"/>
          </w:tcPr>
          <w:p w14:paraId="08A7CA33">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1404" w:type="dxa"/>
            <w:noWrap/>
            <w:vAlign w:val="center"/>
          </w:tcPr>
          <w:p w14:paraId="1AD68B55">
            <w:pPr>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36" w:type="dxa"/>
            <w:noWrap/>
            <w:vAlign w:val="center"/>
          </w:tcPr>
          <w:p w14:paraId="4C0A6740">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909" w:type="dxa"/>
            <w:noWrap/>
            <w:vAlign w:val="center"/>
          </w:tcPr>
          <w:p w14:paraId="0A044FE9">
            <w:pPr>
              <w:spacing w:line="200" w:lineRule="exact"/>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57" w:type="dxa"/>
            <w:gridSpan w:val="2"/>
            <w:noWrap/>
            <w:vAlign w:val="center"/>
          </w:tcPr>
          <w:p w14:paraId="225B0258">
            <w:pPr>
              <w:spacing w:line="200" w:lineRule="exact"/>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6" w:type="dxa"/>
            <w:noWrap/>
            <w:vAlign w:val="center"/>
          </w:tcPr>
          <w:p w14:paraId="7C21FCCB">
            <w:pPr>
              <w:spacing w:line="200" w:lineRule="exact"/>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81" w:type="dxa"/>
            <w:noWrap/>
            <w:vAlign w:val="center"/>
          </w:tcPr>
          <w:p w14:paraId="320747F3">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00" w:type="dxa"/>
            <w:noWrap/>
            <w:vAlign w:val="center"/>
          </w:tcPr>
          <w:p w14:paraId="01D7B11A">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320" w:type="dxa"/>
            <w:noWrap/>
            <w:vAlign w:val="center"/>
          </w:tcPr>
          <w:p w14:paraId="1123798A">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08D2DF7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noWrap/>
            <w:vAlign w:val="center"/>
          </w:tcPr>
          <w:p w14:paraId="1F8BF039">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开口阀或开口管线</w:t>
            </w:r>
          </w:p>
        </w:tc>
        <w:tc>
          <w:tcPr>
            <w:tcW w:w="1157" w:type="dxa"/>
            <w:noWrap/>
            <w:vAlign w:val="center"/>
          </w:tcPr>
          <w:p w14:paraId="27FA8436">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13</w:t>
            </w:r>
          </w:p>
        </w:tc>
        <w:tc>
          <w:tcPr>
            <w:tcW w:w="1404" w:type="dxa"/>
            <w:noWrap/>
            <w:vAlign w:val="center"/>
          </w:tcPr>
          <w:p w14:paraId="577CCBC8">
            <w:pPr>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1</w:t>
            </w:r>
          </w:p>
        </w:tc>
        <w:tc>
          <w:tcPr>
            <w:tcW w:w="936" w:type="dxa"/>
            <w:noWrap/>
            <w:vAlign w:val="center"/>
          </w:tcPr>
          <w:p w14:paraId="33743C19">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12</w:t>
            </w:r>
          </w:p>
        </w:tc>
        <w:tc>
          <w:tcPr>
            <w:tcW w:w="909" w:type="dxa"/>
            <w:noWrap/>
            <w:vAlign w:val="center"/>
          </w:tcPr>
          <w:p w14:paraId="32D20D48">
            <w:pPr>
              <w:spacing w:line="200" w:lineRule="exact"/>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1</w:t>
            </w:r>
          </w:p>
        </w:tc>
        <w:tc>
          <w:tcPr>
            <w:tcW w:w="2157" w:type="dxa"/>
            <w:gridSpan w:val="2"/>
            <w:noWrap/>
            <w:vAlign w:val="center"/>
          </w:tcPr>
          <w:p w14:paraId="78186080">
            <w:pPr>
              <w:spacing w:line="200" w:lineRule="exact"/>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6" w:type="dxa"/>
            <w:noWrap/>
            <w:vAlign w:val="center"/>
          </w:tcPr>
          <w:p w14:paraId="51638419">
            <w:pPr>
              <w:spacing w:line="200" w:lineRule="exact"/>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sz w:val="21"/>
                <w:szCs w:val="21"/>
                <w:lang w:val="en-US" w:eastAsia="zh-CN"/>
              </w:rPr>
              <w:t>1</w:t>
            </w:r>
          </w:p>
        </w:tc>
        <w:tc>
          <w:tcPr>
            <w:tcW w:w="1481" w:type="dxa"/>
            <w:noWrap/>
            <w:vAlign w:val="center"/>
          </w:tcPr>
          <w:p w14:paraId="5F103F89">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00" w:type="dxa"/>
            <w:noWrap/>
            <w:vAlign w:val="center"/>
          </w:tcPr>
          <w:p w14:paraId="17160157">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w:t>
            </w:r>
          </w:p>
        </w:tc>
        <w:tc>
          <w:tcPr>
            <w:tcW w:w="2320" w:type="dxa"/>
            <w:noWrap/>
            <w:vAlign w:val="center"/>
          </w:tcPr>
          <w:p w14:paraId="7F0D5234">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20AA078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noWrap/>
            <w:vAlign w:val="center"/>
          </w:tcPr>
          <w:p w14:paraId="7D7BB429">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连接件</w:t>
            </w:r>
          </w:p>
        </w:tc>
        <w:tc>
          <w:tcPr>
            <w:tcW w:w="1157" w:type="dxa"/>
            <w:noWrap/>
            <w:vAlign w:val="center"/>
          </w:tcPr>
          <w:p w14:paraId="01659A44">
            <w:pPr>
              <w:keepNext w:val="0"/>
              <w:keepLines w:val="0"/>
              <w:widowControl/>
              <w:suppressLineNumbers w:val="0"/>
              <w:jc w:val="center"/>
              <w:textAlignment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1404" w:type="dxa"/>
            <w:noWrap/>
            <w:vAlign w:val="center"/>
          </w:tcPr>
          <w:p w14:paraId="64684060">
            <w:pPr>
              <w:jc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36" w:type="dxa"/>
            <w:noWrap/>
            <w:vAlign w:val="center"/>
          </w:tcPr>
          <w:p w14:paraId="4E41D2A5">
            <w:pPr>
              <w:keepNext w:val="0"/>
              <w:keepLines w:val="0"/>
              <w:widowControl/>
              <w:suppressLineNumbers w:val="0"/>
              <w:jc w:val="center"/>
              <w:textAlignment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909" w:type="dxa"/>
            <w:noWrap/>
            <w:vAlign w:val="center"/>
          </w:tcPr>
          <w:p w14:paraId="4AC79CEF">
            <w:pPr>
              <w:spacing w:line="200" w:lineRule="exact"/>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57" w:type="dxa"/>
            <w:gridSpan w:val="2"/>
            <w:noWrap/>
            <w:vAlign w:val="center"/>
          </w:tcPr>
          <w:p w14:paraId="019BC03C">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6" w:type="dxa"/>
            <w:noWrap/>
            <w:vAlign w:val="center"/>
          </w:tcPr>
          <w:p w14:paraId="1F9F75AD">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81" w:type="dxa"/>
            <w:noWrap/>
            <w:vAlign w:val="center"/>
          </w:tcPr>
          <w:p w14:paraId="47518550">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00" w:type="dxa"/>
            <w:noWrap/>
            <w:vAlign w:val="center"/>
          </w:tcPr>
          <w:p w14:paraId="1B8C061E">
            <w:pPr>
              <w:spacing w:line="200" w:lineRule="exact"/>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320" w:type="dxa"/>
            <w:noWrap/>
            <w:vAlign w:val="center"/>
          </w:tcPr>
          <w:p w14:paraId="029F042F">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5864A42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noWrap/>
            <w:vAlign w:val="center"/>
          </w:tcPr>
          <w:p w14:paraId="10D1CCA6">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泄压设备</w:t>
            </w:r>
          </w:p>
        </w:tc>
        <w:tc>
          <w:tcPr>
            <w:tcW w:w="1157" w:type="dxa"/>
            <w:noWrap/>
            <w:vAlign w:val="center"/>
          </w:tcPr>
          <w:p w14:paraId="7D8D0426">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1404" w:type="dxa"/>
            <w:noWrap/>
            <w:vAlign w:val="center"/>
          </w:tcPr>
          <w:p w14:paraId="11A5488C">
            <w:pPr>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36" w:type="dxa"/>
            <w:noWrap/>
            <w:vAlign w:val="center"/>
          </w:tcPr>
          <w:p w14:paraId="2F2F97EA">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909" w:type="dxa"/>
            <w:noWrap/>
            <w:vAlign w:val="center"/>
          </w:tcPr>
          <w:p w14:paraId="0B113D3E">
            <w:pPr>
              <w:spacing w:line="200" w:lineRule="exact"/>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57" w:type="dxa"/>
            <w:gridSpan w:val="2"/>
            <w:noWrap/>
            <w:vAlign w:val="center"/>
          </w:tcPr>
          <w:p w14:paraId="7BBB2A96">
            <w:pPr>
              <w:spacing w:line="200" w:lineRule="exact"/>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6" w:type="dxa"/>
            <w:noWrap/>
            <w:vAlign w:val="center"/>
          </w:tcPr>
          <w:p w14:paraId="436CED93">
            <w:pPr>
              <w:spacing w:line="200" w:lineRule="exact"/>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81" w:type="dxa"/>
            <w:noWrap/>
            <w:vAlign w:val="center"/>
          </w:tcPr>
          <w:p w14:paraId="42F3EBDD">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00" w:type="dxa"/>
            <w:noWrap/>
            <w:vAlign w:val="center"/>
          </w:tcPr>
          <w:p w14:paraId="37341C6B">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320" w:type="dxa"/>
            <w:noWrap/>
            <w:vAlign w:val="center"/>
          </w:tcPr>
          <w:p w14:paraId="4D5808CD">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069246D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noWrap/>
            <w:vAlign w:val="center"/>
          </w:tcPr>
          <w:p w14:paraId="0CBC7999">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压缩机</w:t>
            </w:r>
          </w:p>
        </w:tc>
        <w:tc>
          <w:tcPr>
            <w:tcW w:w="1157" w:type="dxa"/>
            <w:noWrap/>
            <w:vAlign w:val="center"/>
          </w:tcPr>
          <w:p w14:paraId="7AFBDC3B">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04" w:type="dxa"/>
            <w:noWrap/>
            <w:vAlign w:val="center"/>
          </w:tcPr>
          <w:p w14:paraId="110BBF81">
            <w:pPr>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36" w:type="dxa"/>
            <w:noWrap/>
            <w:vAlign w:val="center"/>
          </w:tcPr>
          <w:p w14:paraId="41A1D10A">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09" w:type="dxa"/>
            <w:noWrap/>
            <w:vAlign w:val="center"/>
          </w:tcPr>
          <w:p w14:paraId="1D77EF05">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57" w:type="dxa"/>
            <w:gridSpan w:val="2"/>
            <w:noWrap/>
            <w:vAlign w:val="center"/>
          </w:tcPr>
          <w:p w14:paraId="437079CA">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6" w:type="dxa"/>
            <w:noWrap/>
            <w:vAlign w:val="center"/>
          </w:tcPr>
          <w:p w14:paraId="50EF5064">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81" w:type="dxa"/>
            <w:noWrap/>
            <w:vAlign w:val="center"/>
          </w:tcPr>
          <w:p w14:paraId="6EC2FD8B">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00" w:type="dxa"/>
            <w:noWrap/>
            <w:vAlign w:val="center"/>
          </w:tcPr>
          <w:p w14:paraId="7DD4EA8C">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320" w:type="dxa"/>
            <w:noWrap/>
            <w:vAlign w:val="center"/>
          </w:tcPr>
          <w:p w14:paraId="265EE4EE">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10758499">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noWrap/>
            <w:vAlign w:val="center"/>
          </w:tcPr>
          <w:p w14:paraId="403E9892">
            <w:pPr>
              <w:pStyle w:val="26"/>
              <w:ind w:firstLine="0" w:firstLineChars="0"/>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其他</w:t>
            </w:r>
          </w:p>
        </w:tc>
        <w:tc>
          <w:tcPr>
            <w:tcW w:w="1157" w:type="dxa"/>
            <w:noWrap/>
            <w:vAlign w:val="center"/>
          </w:tcPr>
          <w:p w14:paraId="563C9677">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1404" w:type="dxa"/>
            <w:noWrap/>
            <w:vAlign w:val="center"/>
          </w:tcPr>
          <w:p w14:paraId="24DE29B0">
            <w:pPr>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36" w:type="dxa"/>
            <w:noWrap/>
            <w:vAlign w:val="center"/>
          </w:tcPr>
          <w:p w14:paraId="1069E596">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909" w:type="dxa"/>
            <w:noWrap/>
            <w:vAlign w:val="center"/>
          </w:tcPr>
          <w:p w14:paraId="4B2BB236">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57" w:type="dxa"/>
            <w:gridSpan w:val="2"/>
            <w:noWrap/>
            <w:vAlign w:val="center"/>
          </w:tcPr>
          <w:p w14:paraId="42169B4D">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6" w:type="dxa"/>
            <w:noWrap/>
            <w:vAlign w:val="center"/>
          </w:tcPr>
          <w:p w14:paraId="30D5FF4C">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81" w:type="dxa"/>
            <w:noWrap/>
            <w:vAlign w:val="center"/>
          </w:tcPr>
          <w:p w14:paraId="70C71834">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00" w:type="dxa"/>
            <w:noWrap/>
            <w:vAlign w:val="center"/>
          </w:tcPr>
          <w:p w14:paraId="5C9B1D45">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320" w:type="dxa"/>
            <w:noWrap/>
            <w:vAlign w:val="center"/>
          </w:tcPr>
          <w:p w14:paraId="63CAD93B">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315CB139">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noWrap/>
            <w:vAlign w:val="center"/>
          </w:tcPr>
          <w:p w14:paraId="0CF884FD">
            <w:pPr>
              <w:pStyle w:val="23"/>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合计</w:t>
            </w:r>
          </w:p>
        </w:tc>
        <w:tc>
          <w:tcPr>
            <w:tcW w:w="1157" w:type="dxa"/>
            <w:noWrap/>
            <w:vAlign w:val="center"/>
          </w:tcPr>
          <w:p w14:paraId="7EDDC9F3">
            <w:pPr>
              <w:keepNext w:val="0"/>
              <w:keepLines w:val="0"/>
              <w:widowControl/>
              <w:suppressLineNumbers w:val="0"/>
              <w:jc w:val="center"/>
              <w:textAlignment w:val="center"/>
              <w:rPr>
                <w:rFonts w:hint="default" w:asciiTheme="majorEastAsia" w:hAnsiTheme="majorEastAsia" w:eastAsiaTheme="majorEastAsia" w:cstheme="majorEastAsia"/>
                <w:bCs/>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394</w:t>
            </w:r>
          </w:p>
        </w:tc>
        <w:tc>
          <w:tcPr>
            <w:tcW w:w="1404" w:type="dxa"/>
            <w:noWrap/>
            <w:vAlign w:val="center"/>
          </w:tcPr>
          <w:p w14:paraId="4B9CE1D6">
            <w:pPr>
              <w:jc w:val="center"/>
              <w:rPr>
                <w:rFonts w:hint="default" w:asciiTheme="majorEastAsia" w:hAnsiTheme="majorEastAsia" w:eastAsiaTheme="majorEastAsia" w:cstheme="majorEastAsia"/>
                <w:bCs/>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37</w:t>
            </w:r>
          </w:p>
        </w:tc>
        <w:tc>
          <w:tcPr>
            <w:tcW w:w="936" w:type="dxa"/>
            <w:noWrap/>
            <w:vAlign w:val="center"/>
          </w:tcPr>
          <w:p w14:paraId="3ABF9AA5">
            <w:pPr>
              <w:keepNext w:val="0"/>
              <w:keepLines w:val="0"/>
              <w:widowControl/>
              <w:suppressLineNumbers w:val="0"/>
              <w:jc w:val="center"/>
              <w:textAlignment w:val="center"/>
              <w:rPr>
                <w:rFonts w:hint="default" w:asciiTheme="majorEastAsia" w:hAnsiTheme="majorEastAsia" w:eastAsiaTheme="majorEastAsia" w:cstheme="majorEastAsia"/>
                <w:bCs/>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357</w:t>
            </w:r>
          </w:p>
        </w:tc>
        <w:tc>
          <w:tcPr>
            <w:tcW w:w="909" w:type="dxa"/>
            <w:noWrap/>
            <w:vAlign w:val="center"/>
          </w:tcPr>
          <w:p w14:paraId="475ACC98">
            <w:pPr>
              <w:spacing w:line="200" w:lineRule="exact"/>
              <w:jc w:val="center"/>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1</w:t>
            </w:r>
          </w:p>
        </w:tc>
        <w:tc>
          <w:tcPr>
            <w:tcW w:w="2157" w:type="dxa"/>
            <w:gridSpan w:val="2"/>
            <w:noWrap/>
            <w:vAlign w:val="center"/>
          </w:tcPr>
          <w:p w14:paraId="2A96E760">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6" w:type="dxa"/>
            <w:noWrap/>
            <w:vAlign w:val="center"/>
          </w:tcPr>
          <w:p w14:paraId="1189B0BC">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w:t>
            </w:r>
          </w:p>
        </w:tc>
        <w:tc>
          <w:tcPr>
            <w:tcW w:w="1481" w:type="dxa"/>
            <w:noWrap/>
            <w:vAlign w:val="center"/>
          </w:tcPr>
          <w:p w14:paraId="771AA948">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00" w:type="dxa"/>
            <w:noWrap/>
            <w:vAlign w:val="center"/>
          </w:tcPr>
          <w:p w14:paraId="31AF052D">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w:t>
            </w:r>
          </w:p>
        </w:tc>
        <w:tc>
          <w:tcPr>
            <w:tcW w:w="2320" w:type="dxa"/>
            <w:noWrap/>
            <w:vAlign w:val="center"/>
          </w:tcPr>
          <w:p w14:paraId="2A3FA1F0">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bl>
    <w:p w14:paraId="112C7FC9">
      <w:pPr>
        <w:pStyle w:val="4"/>
        <w:numPr>
          <w:ilvl w:val="1"/>
          <w:numId w:val="0"/>
        </w:numPr>
        <w:bidi w:val="0"/>
        <w:ind w:leftChars="0" w:firstLine="3131" w:firstLineChars="1300"/>
        <w:rPr>
          <w:rFonts w:hint="eastAsia" w:asciiTheme="majorEastAsia" w:hAnsiTheme="majorEastAsia" w:eastAsiaTheme="majorEastAsia" w:cstheme="majorEastAsia"/>
          <w:color w:val="auto"/>
          <w:sz w:val="21"/>
          <w:szCs w:val="21"/>
          <w:lang w:val="en-US" w:eastAsia="zh-CN"/>
        </w:rPr>
      </w:pPr>
      <w:bookmarkStart w:id="109" w:name="_Toc17717"/>
      <w:r>
        <w:rPr>
          <w:rFonts w:hint="eastAsia" w:asciiTheme="majorEastAsia" w:hAnsiTheme="majorEastAsia" w:eastAsiaTheme="majorEastAsia" w:cstheme="majorEastAsia"/>
          <w:color w:val="auto"/>
          <w:sz w:val="21"/>
          <w:szCs w:val="21"/>
          <w:lang w:val="en-US" w:eastAsia="zh-CN"/>
        </w:rPr>
        <w:t>表6.4 山东万达化工有限公司新材料一装置LDAR 2024年第三轮统计表</w:t>
      </w:r>
      <w:bookmarkEnd w:id="109"/>
    </w:p>
    <w:p w14:paraId="5261C47A">
      <w:pPr>
        <w:pStyle w:val="23"/>
        <w:jc w:val="right"/>
        <w:outlineLvl w:val="9"/>
        <w:rPr>
          <w:rFonts w:hint="eastAsia"/>
          <w:lang w:val="en-US" w:eastAsia="zh-CN"/>
        </w:rPr>
      </w:pPr>
      <w:r>
        <w:rPr>
          <w:rFonts w:hint="eastAsia" w:asciiTheme="majorEastAsia" w:hAnsiTheme="majorEastAsia" w:eastAsiaTheme="majorEastAsia" w:cstheme="majorEastAsia"/>
          <w:color w:val="000000"/>
          <w:kern w:val="2"/>
          <w:sz w:val="21"/>
          <w:szCs w:val="21"/>
          <w:lang w:val="en-US" w:eastAsia="zh-CN" w:bidi="ar-SA"/>
        </w:rPr>
        <w:t xml:space="preserve">  填表日期：2024年09月23日</w:t>
      </w:r>
    </w:p>
    <w:tbl>
      <w:tblPr>
        <w:tblStyle w:val="13"/>
        <w:tblW w:w="4975"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1592"/>
        <w:gridCol w:w="1157"/>
        <w:gridCol w:w="1404"/>
        <w:gridCol w:w="936"/>
        <w:gridCol w:w="909"/>
        <w:gridCol w:w="1364"/>
        <w:gridCol w:w="793"/>
        <w:gridCol w:w="1456"/>
        <w:gridCol w:w="1481"/>
        <w:gridCol w:w="1300"/>
        <w:gridCol w:w="2320"/>
      </w:tblGrid>
      <w:tr w14:paraId="7B1F2DEA">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tcBorders>
              <w:top w:val="single" w:color="auto" w:sz="12" w:space="0"/>
            </w:tcBorders>
            <w:noWrap/>
            <w:vAlign w:val="center"/>
          </w:tcPr>
          <w:p w14:paraId="69D0797C">
            <w:pPr>
              <w:jc w:val="left"/>
              <w:rPr>
                <w:rFonts w:hint="eastAsia" w:asciiTheme="majorEastAsia" w:hAnsiTheme="majorEastAsia" w:eastAsiaTheme="majorEastAsia" w:cstheme="majorEastAsia"/>
                <w:color w:val="auto"/>
                <w:sz w:val="21"/>
                <w:szCs w:val="21"/>
                <w:lang w:val="en-US" w:eastAsia="zh-CN"/>
              </w:rPr>
            </w:pPr>
            <w:r>
              <w:rPr>
                <w:rFonts w:hint="eastAsia"/>
                <w:lang w:val="en-US" w:eastAsia="zh-CN"/>
              </w:rPr>
              <w:t xml:space="preserve">  </w:t>
            </w:r>
            <w:r>
              <w:rPr>
                <w:rFonts w:hint="eastAsia" w:asciiTheme="majorEastAsia" w:hAnsiTheme="majorEastAsia" w:eastAsiaTheme="majorEastAsia" w:cstheme="majorEastAsia"/>
                <w:color w:val="auto"/>
                <w:sz w:val="21"/>
                <w:szCs w:val="21"/>
                <w:lang w:val="en-US" w:eastAsia="zh-CN"/>
              </w:rPr>
              <w:t>装置名称</w:t>
            </w:r>
          </w:p>
        </w:tc>
        <w:tc>
          <w:tcPr>
            <w:tcW w:w="2512" w:type="dxa"/>
            <w:gridSpan w:val="2"/>
            <w:tcBorders>
              <w:top w:val="single" w:color="auto" w:sz="12" w:space="0"/>
            </w:tcBorders>
            <w:noWrap/>
            <w:vAlign w:val="center"/>
          </w:tcPr>
          <w:p w14:paraId="154B2F2D">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新材料一装置</w:t>
            </w:r>
          </w:p>
        </w:tc>
        <w:tc>
          <w:tcPr>
            <w:tcW w:w="1810" w:type="dxa"/>
            <w:gridSpan w:val="2"/>
            <w:tcBorders>
              <w:top w:val="single" w:color="auto" w:sz="12" w:space="0"/>
            </w:tcBorders>
            <w:noWrap/>
            <w:vAlign w:val="center"/>
          </w:tcPr>
          <w:p w14:paraId="1F34349E">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装置编码</w:t>
            </w:r>
          </w:p>
        </w:tc>
        <w:tc>
          <w:tcPr>
            <w:tcW w:w="1338" w:type="dxa"/>
            <w:tcBorders>
              <w:top w:val="single" w:color="auto" w:sz="12" w:space="0"/>
            </w:tcBorders>
            <w:noWrap/>
            <w:vAlign w:val="center"/>
          </w:tcPr>
          <w:p w14:paraId="0733A19D">
            <w:pPr>
              <w:pStyle w:val="23"/>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XXCLY0</w:t>
            </w:r>
          </w:p>
        </w:tc>
        <w:tc>
          <w:tcPr>
            <w:tcW w:w="2206" w:type="dxa"/>
            <w:gridSpan w:val="2"/>
            <w:tcBorders>
              <w:top w:val="single" w:color="auto" w:sz="12" w:space="0"/>
            </w:tcBorders>
            <w:noWrap/>
            <w:vAlign w:val="center"/>
          </w:tcPr>
          <w:p w14:paraId="5EAADE98">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年加工/生产能力</w:t>
            </w:r>
          </w:p>
        </w:tc>
        <w:tc>
          <w:tcPr>
            <w:tcW w:w="5004" w:type="dxa"/>
            <w:gridSpan w:val="3"/>
            <w:tcBorders>
              <w:top w:val="single" w:color="auto" w:sz="12" w:space="0"/>
            </w:tcBorders>
            <w:noWrap/>
            <w:vAlign w:val="center"/>
          </w:tcPr>
          <w:p w14:paraId="2A261855">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r>
      <w:tr w14:paraId="67F5DF6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5AC253A9">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装置初次</w:t>
            </w:r>
          </w:p>
          <w:p w14:paraId="592A5141">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开工日期</w:t>
            </w:r>
          </w:p>
        </w:tc>
        <w:tc>
          <w:tcPr>
            <w:tcW w:w="1135" w:type="dxa"/>
            <w:noWrap/>
            <w:vAlign w:val="center"/>
          </w:tcPr>
          <w:p w14:paraId="4E0B2E52">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c>
          <w:tcPr>
            <w:tcW w:w="1377" w:type="dxa"/>
            <w:noWrap/>
            <w:vAlign w:val="center"/>
          </w:tcPr>
          <w:p w14:paraId="0218E407">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装置上次停车检修日期</w:t>
            </w:r>
          </w:p>
        </w:tc>
        <w:tc>
          <w:tcPr>
            <w:tcW w:w="5354" w:type="dxa"/>
            <w:gridSpan w:val="5"/>
            <w:noWrap/>
            <w:vAlign w:val="center"/>
          </w:tcPr>
          <w:p w14:paraId="22F10EA1">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c>
          <w:tcPr>
            <w:tcW w:w="1453" w:type="dxa"/>
            <w:noWrap/>
            <w:vAlign w:val="center"/>
          </w:tcPr>
          <w:p w14:paraId="020C2FE7">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装置下次停车检修日期</w:t>
            </w:r>
          </w:p>
        </w:tc>
        <w:tc>
          <w:tcPr>
            <w:tcW w:w="3551" w:type="dxa"/>
            <w:gridSpan w:val="2"/>
            <w:noWrap/>
            <w:vAlign w:val="center"/>
          </w:tcPr>
          <w:p w14:paraId="547F4448">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r>
      <w:tr w14:paraId="7CE36CC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vMerge w:val="restart"/>
            <w:noWrap/>
            <w:vAlign w:val="center"/>
          </w:tcPr>
          <w:p w14:paraId="01CFD9C1">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密封点类别</w:t>
            </w:r>
          </w:p>
        </w:tc>
        <w:tc>
          <w:tcPr>
            <w:tcW w:w="2512" w:type="dxa"/>
            <w:gridSpan w:val="2"/>
            <w:noWrap/>
            <w:vAlign w:val="center"/>
          </w:tcPr>
          <w:p w14:paraId="6352FF42">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项目建立</w:t>
            </w:r>
          </w:p>
        </w:tc>
        <w:tc>
          <w:tcPr>
            <w:tcW w:w="3926" w:type="dxa"/>
            <w:gridSpan w:val="4"/>
            <w:noWrap/>
            <w:vAlign w:val="center"/>
          </w:tcPr>
          <w:p w14:paraId="2FA1B4F5">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现场检测</w:t>
            </w:r>
          </w:p>
        </w:tc>
        <w:tc>
          <w:tcPr>
            <w:tcW w:w="6432" w:type="dxa"/>
            <w:gridSpan w:val="4"/>
            <w:noWrap/>
            <w:vAlign w:val="center"/>
          </w:tcPr>
          <w:p w14:paraId="7D85DB6B">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泄漏维修</w:t>
            </w:r>
          </w:p>
        </w:tc>
      </w:tr>
      <w:tr w14:paraId="5EAA523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vMerge w:val="continue"/>
            <w:noWrap/>
            <w:vAlign w:val="center"/>
          </w:tcPr>
          <w:p w14:paraId="6CB6EDC9">
            <w:pPr>
              <w:pStyle w:val="23"/>
              <w:jc w:val="center"/>
              <w:rPr>
                <w:rFonts w:hint="eastAsia" w:asciiTheme="majorEastAsia" w:hAnsiTheme="majorEastAsia" w:eastAsiaTheme="majorEastAsia" w:cstheme="majorEastAsia"/>
                <w:color w:val="auto"/>
                <w:sz w:val="21"/>
                <w:szCs w:val="21"/>
                <w:lang w:val="en-US" w:eastAsia="zh-CN"/>
              </w:rPr>
            </w:pPr>
          </w:p>
        </w:tc>
        <w:tc>
          <w:tcPr>
            <w:tcW w:w="1135" w:type="dxa"/>
            <w:noWrap/>
            <w:vAlign w:val="center"/>
          </w:tcPr>
          <w:p w14:paraId="770BB55B">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受控密封点数</w:t>
            </w:r>
          </w:p>
        </w:tc>
        <w:tc>
          <w:tcPr>
            <w:tcW w:w="1377" w:type="dxa"/>
            <w:noWrap/>
            <w:vAlign w:val="center"/>
          </w:tcPr>
          <w:p w14:paraId="20B9B2DD">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不可达密封点数</w:t>
            </w:r>
          </w:p>
        </w:tc>
        <w:tc>
          <w:tcPr>
            <w:tcW w:w="918" w:type="dxa"/>
            <w:noWrap/>
            <w:vAlign w:val="center"/>
          </w:tcPr>
          <w:p w14:paraId="468FBEDB">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检测密封点数</w:t>
            </w:r>
          </w:p>
        </w:tc>
        <w:tc>
          <w:tcPr>
            <w:tcW w:w="892" w:type="dxa"/>
            <w:noWrap/>
            <w:vAlign w:val="center"/>
          </w:tcPr>
          <w:p w14:paraId="3C85D45D">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泄漏密封点数</w:t>
            </w:r>
          </w:p>
        </w:tc>
        <w:tc>
          <w:tcPr>
            <w:tcW w:w="2116" w:type="dxa"/>
            <w:gridSpan w:val="2"/>
            <w:noWrap/>
            <w:vAlign w:val="center"/>
          </w:tcPr>
          <w:p w14:paraId="7C6469F4">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泄漏检测值达到或超过10000μmol/mol的泄漏点数</w:t>
            </w:r>
          </w:p>
        </w:tc>
        <w:tc>
          <w:tcPr>
            <w:tcW w:w="1428" w:type="dxa"/>
            <w:noWrap/>
            <w:vAlign w:val="center"/>
          </w:tcPr>
          <w:p w14:paraId="56F38F75">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5日内首次维修修复密封点数</w:t>
            </w:r>
          </w:p>
        </w:tc>
        <w:tc>
          <w:tcPr>
            <w:tcW w:w="1453" w:type="dxa"/>
            <w:noWrap/>
            <w:vAlign w:val="center"/>
          </w:tcPr>
          <w:p w14:paraId="08415AA0">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15日内实质性维修修复</w:t>
            </w:r>
          </w:p>
          <w:p w14:paraId="13064024">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泄漏点数</w:t>
            </w:r>
          </w:p>
        </w:tc>
        <w:tc>
          <w:tcPr>
            <w:tcW w:w="1275" w:type="dxa"/>
            <w:noWrap/>
            <w:vAlign w:val="center"/>
          </w:tcPr>
          <w:p w14:paraId="37D282B7">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至今修复泄漏点数</w:t>
            </w:r>
          </w:p>
        </w:tc>
        <w:tc>
          <w:tcPr>
            <w:tcW w:w="2276" w:type="dxa"/>
            <w:noWrap/>
            <w:vAlign w:val="center"/>
          </w:tcPr>
          <w:p w14:paraId="127F90DA">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除已修复的泄漏点,</w:t>
            </w:r>
          </w:p>
          <w:p w14:paraId="3B55B07F">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6个月内计划</w:t>
            </w:r>
          </w:p>
          <w:p w14:paraId="79FD70D5">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修复的泄漏点数</w:t>
            </w:r>
          </w:p>
        </w:tc>
      </w:tr>
      <w:tr w14:paraId="5AF1669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0EB9DBAB">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泵</w:t>
            </w:r>
          </w:p>
        </w:tc>
        <w:tc>
          <w:tcPr>
            <w:tcW w:w="1135" w:type="dxa"/>
            <w:noWrap/>
            <w:vAlign w:val="center"/>
          </w:tcPr>
          <w:p w14:paraId="593D0DE2">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8</w:t>
            </w:r>
          </w:p>
        </w:tc>
        <w:tc>
          <w:tcPr>
            <w:tcW w:w="1377" w:type="dxa"/>
            <w:noWrap/>
            <w:vAlign w:val="center"/>
          </w:tcPr>
          <w:p w14:paraId="459F0C78">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14:paraId="7397EC6E">
            <w:pPr>
              <w:pStyle w:val="23"/>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8</w:t>
            </w:r>
          </w:p>
        </w:tc>
        <w:tc>
          <w:tcPr>
            <w:tcW w:w="892" w:type="dxa"/>
            <w:noWrap/>
            <w:vAlign w:val="center"/>
          </w:tcPr>
          <w:p w14:paraId="018F2F85">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14:paraId="184FF912">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14:paraId="31C925CA">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14:paraId="6A7AF3A9">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14:paraId="5C39D941">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14:paraId="1C447A08">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7E406920">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11E42D89">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阀门</w:t>
            </w:r>
          </w:p>
        </w:tc>
        <w:tc>
          <w:tcPr>
            <w:tcW w:w="1135" w:type="dxa"/>
            <w:noWrap/>
            <w:vAlign w:val="center"/>
          </w:tcPr>
          <w:p w14:paraId="47E405CF">
            <w:pPr>
              <w:pStyle w:val="23"/>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1649</w:t>
            </w:r>
          </w:p>
        </w:tc>
        <w:tc>
          <w:tcPr>
            <w:tcW w:w="1377" w:type="dxa"/>
            <w:noWrap/>
            <w:vAlign w:val="center"/>
          </w:tcPr>
          <w:p w14:paraId="39C92106">
            <w:pPr>
              <w:pStyle w:val="23"/>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130</w:t>
            </w:r>
          </w:p>
        </w:tc>
        <w:tc>
          <w:tcPr>
            <w:tcW w:w="918" w:type="dxa"/>
            <w:noWrap/>
            <w:vAlign w:val="center"/>
          </w:tcPr>
          <w:p w14:paraId="19B0712D">
            <w:pPr>
              <w:pStyle w:val="23"/>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1519</w:t>
            </w:r>
          </w:p>
        </w:tc>
        <w:tc>
          <w:tcPr>
            <w:tcW w:w="892" w:type="dxa"/>
            <w:noWrap/>
            <w:vAlign w:val="center"/>
          </w:tcPr>
          <w:p w14:paraId="3808034C">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w:t>
            </w:r>
          </w:p>
        </w:tc>
        <w:tc>
          <w:tcPr>
            <w:tcW w:w="2116" w:type="dxa"/>
            <w:gridSpan w:val="2"/>
            <w:noWrap/>
            <w:vAlign w:val="center"/>
          </w:tcPr>
          <w:p w14:paraId="6FF51907">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14:paraId="32DF3918">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w:t>
            </w:r>
          </w:p>
        </w:tc>
        <w:tc>
          <w:tcPr>
            <w:tcW w:w="1453" w:type="dxa"/>
            <w:noWrap/>
            <w:vAlign w:val="center"/>
          </w:tcPr>
          <w:p w14:paraId="3D4F2431">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14:paraId="795318E5">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w:t>
            </w:r>
          </w:p>
        </w:tc>
        <w:tc>
          <w:tcPr>
            <w:tcW w:w="2276" w:type="dxa"/>
            <w:noWrap/>
            <w:vAlign w:val="center"/>
          </w:tcPr>
          <w:p w14:paraId="4FC4C21A">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0F64A9F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2572DB37">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法兰</w:t>
            </w:r>
          </w:p>
        </w:tc>
        <w:tc>
          <w:tcPr>
            <w:tcW w:w="1135" w:type="dxa"/>
            <w:noWrap/>
            <w:vAlign w:val="center"/>
          </w:tcPr>
          <w:p w14:paraId="190C35B3">
            <w:pPr>
              <w:pStyle w:val="23"/>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77" w:type="dxa"/>
            <w:noWrap/>
            <w:vAlign w:val="center"/>
          </w:tcPr>
          <w:p w14:paraId="7511983B">
            <w:pPr>
              <w:pStyle w:val="23"/>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14:paraId="3E48BF92">
            <w:pPr>
              <w:pStyle w:val="23"/>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892" w:type="dxa"/>
            <w:noWrap/>
            <w:vAlign w:val="center"/>
          </w:tcPr>
          <w:p w14:paraId="1BEB40C0">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14:paraId="5910780B">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14:paraId="125BD4F1">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14:paraId="1B31308F">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14:paraId="59DF28D5">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14:paraId="57468299">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6BC56DF1">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6E71F940">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搅拌器</w:t>
            </w:r>
          </w:p>
        </w:tc>
        <w:tc>
          <w:tcPr>
            <w:tcW w:w="1135" w:type="dxa"/>
            <w:noWrap/>
            <w:vAlign w:val="center"/>
          </w:tcPr>
          <w:p w14:paraId="05F69D00">
            <w:pPr>
              <w:pStyle w:val="23"/>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88</w:t>
            </w:r>
          </w:p>
        </w:tc>
        <w:tc>
          <w:tcPr>
            <w:tcW w:w="1377" w:type="dxa"/>
            <w:noWrap/>
            <w:vAlign w:val="center"/>
          </w:tcPr>
          <w:p w14:paraId="162BD840">
            <w:pPr>
              <w:pStyle w:val="23"/>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w:t>
            </w:r>
          </w:p>
        </w:tc>
        <w:tc>
          <w:tcPr>
            <w:tcW w:w="918" w:type="dxa"/>
            <w:noWrap/>
            <w:vAlign w:val="center"/>
          </w:tcPr>
          <w:p w14:paraId="7A1B468F">
            <w:pPr>
              <w:pStyle w:val="23"/>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86</w:t>
            </w:r>
          </w:p>
        </w:tc>
        <w:tc>
          <w:tcPr>
            <w:tcW w:w="892" w:type="dxa"/>
            <w:noWrap/>
            <w:vAlign w:val="center"/>
          </w:tcPr>
          <w:p w14:paraId="58123B65">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14:paraId="255490D8">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14:paraId="297282A4">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14:paraId="3DDBB47A">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14:paraId="548E91B9">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14:paraId="4C41436F">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3494F277">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29CD208E">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开口阀或开口管线</w:t>
            </w:r>
          </w:p>
        </w:tc>
        <w:tc>
          <w:tcPr>
            <w:tcW w:w="1135" w:type="dxa"/>
            <w:noWrap/>
            <w:vAlign w:val="center"/>
          </w:tcPr>
          <w:p w14:paraId="28E14B4F">
            <w:pPr>
              <w:pStyle w:val="23"/>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74</w:t>
            </w:r>
          </w:p>
        </w:tc>
        <w:tc>
          <w:tcPr>
            <w:tcW w:w="1377" w:type="dxa"/>
            <w:noWrap/>
            <w:vAlign w:val="center"/>
          </w:tcPr>
          <w:p w14:paraId="2AF6426F">
            <w:pPr>
              <w:pStyle w:val="23"/>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w:t>
            </w:r>
          </w:p>
        </w:tc>
        <w:tc>
          <w:tcPr>
            <w:tcW w:w="918" w:type="dxa"/>
            <w:noWrap/>
            <w:vAlign w:val="center"/>
          </w:tcPr>
          <w:p w14:paraId="577D8EDF">
            <w:pPr>
              <w:pStyle w:val="23"/>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69</w:t>
            </w:r>
          </w:p>
        </w:tc>
        <w:tc>
          <w:tcPr>
            <w:tcW w:w="892" w:type="dxa"/>
            <w:noWrap/>
            <w:vAlign w:val="center"/>
          </w:tcPr>
          <w:p w14:paraId="4AF77C7A">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14:paraId="4FE8D037">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14:paraId="03CBBF92">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14:paraId="00714CFD">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14:paraId="524586EB">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14:paraId="740AFDD4">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33750A8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0586972E">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连接件</w:t>
            </w:r>
          </w:p>
        </w:tc>
        <w:tc>
          <w:tcPr>
            <w:tcW w:w="1135" w:type="dxa"/>
            <w:noWrap/>
            <w:vAlign w:val="center"/>
          </w:tcPr>
          <w:p w14:paraId="3714C37B">
            <w:pPr>
              <w:pStyle w:val="23"/>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77" w:type="dxa"/>
            <w:noWrap/>
            <w:vAlign w:val="center"/>
          </w:tcPr>
          <w:p w14:paraId="0964C552">
            <w:pPr>
              <w:pStyle w:val="23"/>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14:paraId="06F497F6">
            <w:pPr>
              <w:pStyle w:val="23"/>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892" w:type="dxa"/>
            <w:noWrap/>
            <w:vAlign w:val="center"/>
          </w:tcPr>
          <w:p w14:paraId="08530CF5">
            <w:pPr>
              <w:pStyle w:val="23"/>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14:paraId="17B2EA3C">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14:paraId="62E855FC">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14:paraId="654674F0">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14:paraId="542546EE">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14:paraId="4A957C1D">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2DF01F0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2ACCD621">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泄压设备</w:t>
            </w:r>
          </w:p>
        </w:tc>
        <w:tc>
          <w:tcPr>
            <w:tcW w:w="1135" w:type="dxa"/>
            <w:noWrap/>
            <w:vAlign w:val="center"/>
          </w:tcPr>
          <w:p w14:paraId="420F4B27">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77" w:type="dxa"/>
            <w:noWrap/>
            <w:vAlign w:val="center"/>
          </w:tcPr>
          <w:p w14:paraId="709637AA">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14:paraId="33D74D8F">
            <w:pPr>
              <w:pStyle w:val="23"/>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892" w:type="dxa"/>
            <w:noWrap/>
            <w:vAlign w:val="center"/>
          </w:tcPr>
          <w:p w14:paraId="63E1D6B1">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14:paraId="295794E0">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14:paraId="2F18FB01">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14:paraId="43DC281F">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14:paraId="51DF4E36">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14:paraId="230B270C">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6ABB2F7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02988A25">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压缩机</w:t>
            </w:r>
          </w:p>
        </w:tc>
        <w:tc>
          <w:tcPr>
            <w:tcW w:w="1135" w:type="dxa"/>
            <w:noWrap/>
            <w:vAlign w:val="center"/>
          </w:tcPr>
          <w:p w14:paraId="63C1D67E">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77" w:type="dxa"/>
            <w:noWrap/>
            <w:vAlign w:val="center"/>
          </w:tcPr>
          <w:p w14:paraId="43D7B0E1">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14:paraId="7E6704EA">
            <w:pPr>
              <w:pStyle w:val="23"/>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892" w:type="dxa"/>
            <w:noWrap/>
            <w:vAlign w:val="center"/>
          </w:tcPr>
          <w:p w14:paraId="5B776CAF">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14:paraId="0C1669B9">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14:paraId="795EE7CA">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14:paraId="10592E27">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14:paraId="700D8FDB">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14:paraId="1798ECF5">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77E8C199">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454ECF7F">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其他</w:t>
            </w:r>
          </w:p>
        </w:tc>
        <w:tc>
          <w:tcPr>
            <w:tcW w:w="1135" w:type="dxa"/>
            <w:noWrap/>
            <w:vAlign w:val="center"/>
          </w:tcPr>
          <w:p w14:paraId="030CAA54">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77" w:type="dxa"/>
            <w:noWrap/>
            <w:vAlign w:val="center"/>
          </w:tcPr>
          <w:p w14:paraId="2D044C61">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14:paraId="749C9CE5">
            <w:pPr>
              <w:pStyle w:val="23"/>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892" w:type="dxa"/>
            <w:noWrap/>
            <w:vAlign w:val="center"/>
          </w:tcPr>
          <w:p w14:paraId="6F271CE7">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14:paraId="0BDE1DB6">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14:paraId="19F19325">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14:paraId="61A9FC0A">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14:paraId="7A65C123">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14:paraId="57E7593F">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14:paraId="378CC65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38F3249D">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合计</w:t>
            </w:r>
          </w:p>
        </w:tc>
        <w:tc>
          <w:tcPr>
            <w:tcW w:w="1135" w:type="dxa"/>
            <w:noWrap/>
            <w:vAlign w:val="center"/>
          </w:tcPr>
          <w:p w14:paraId="225387A1">
            <w:pPr>
              <w:pStyle w:val="23"/>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1819</w:t>
            </w:r>
          </w:p>
        </w:tc>
        <w:tc>
          <w:tcPr>
            <w:tcW w:w="1377" w:type="dxa"/>
            <w:noWrap/>
            <w:vAlign w:val="center"/>
          </w:tcPr>
          <w:p w14:paraId="0F5F9E28">
            <w:pPr>
              <w:pStyle w:val="23"/>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137</w:t>
            </w:r>
          </w:p>
        </w:tc>
        <w:tc>
          <w:tcPr>
            <w:tcW w:w="918" w:type="dxa"/>
            <w:noWrap/>
            <w:vAlign w:val="center"/>
          </w:tcPr>
          <w:p w14:paraId="4357F43D">
            <w:pPr>
              <w:pStyle w:val="23"/>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1682</w:t>
            </w:r>
          </w:p>
        </w:tc>
        <w:tc>
          <w:tcPr>
            <w:tcW w:w="892" w:type="dxa"/>
            <w:noWrap/>
            <w:vAlign w:val="center"/>
          </w:tcPr>
          <w:p w14:paraId="5171164B">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w:t>
            </w:r>
          </w:p>
        </w:tc>
        <w:tc>
          <w:tcPr>
            <w:tcW w:w="2116" w:type="dxa"/>
            <w:gridSpan w:val="2"/>
            <w:noWrap/>
            <w:vAlign w:val="center"/>
          </w:tcPr>
          <w:p w14:paraId="0BD1441C">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14:paraId="41564A14">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w:t>
            </w:r>
          </w:p>
        </w:tc>
        <w:tc>
          <w:tcPr>
            <w:tcW w:w="1453" w:type="dxa"/>
            <w:noWrap/>
            <w:vAlign w:val="center"/>
          </w:tcPr>
          <w:p w14:paraId="2E235EAC">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14:paraId="7387A1E8">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w:t>
            </w:r>
          </w:p>
        </w:tc>
        <w:tc>
          <w:tcPr>
            <w:tcW w:w="2276" w:type="dxa"/>
            <w:noWrap/>
            <w:vAlign w:val="center"/>
          </w:tcPr>
          <w:p w14:paraId="69FDB55C">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bl>
    <w:p w14:paraId="05C0F11D">
      <w:pPr>
        <w:pStyle w:val="23"/>
        <w:jc w:val="center"/>
        <w:rPr>
          <w:rFonts w:hint="eastAsia" w:asciiTheme="majorEastAsia" w:hAnsiTheme="majorEastAsia" w:eastAsiaTheme="majorEastAsia" w:cstheme="majorEastAsia"/>
          <w:color w:val="auto"/>
          <w:sz w:val="21"/>
          <w:szCs w:val="21"/>
          <w:lang w:val="en-US" w:eastAsia="zh-CN"/>
        </w:rPr>
      </w:pPr>
    </w:p>
    <w:p w14:paraId="45B3C5F2">
      <w:pPr>
        <w:pStyle w:val="4"/>
        <w:numPr>
          <w:ilvl w:val="1"/>
          <w:numId w:val="0"/>
        </w:numPr>
        <w:bidi w:val="0"/>
        <w:jc w:val="center"/>
        <w:rPr>
          <w:rFonts w:hint="eastAsia" w:asciiTheme="majorEastAsia" w:hAnsiTheme="majorEastAsia" w:eastAsiaTheme="majorEastAsia" w:cstheme="majorEastAsia"/>
          <w:sz w:val="21"/>
          <w:szCs w:val="21"/>
          <w:lang w:val="en-US" w:eastAsia="zh-CN"/>
        </w:rPr>
      </w:pPr>
      <w:bookmarkStart w:id="110" w:name="_Toc17082"/>
      <w:r>
        <w:rPr>
          <w:rFonts w:hint="eastAsia" w:asciiTheme="majorEastAsia" w:hAnsiTheme="majorEastAsia" w:eastAsiaTheme="majorEastAsia" w:cstheme="majorEastAsia"/>
          <w:sz w:val="21"/>
          <w:szCs w:val="21"/>
          <w:lang w:val="en-US" w:eastAsia="zh-CN"/>
        </w:rPr>
        <w:t xml:space="preserve">表6.5 </w:t>
      </w:r>
      <w:r>
        <w:rPr>
          <w:rFonts w:hint="eastAsia" w:asciiTheme="majorEastAsia" w:hAnsiTheme="majorEastAsia" w:eastAsiaTheme="majorEastAsia" w:cstheme="majorEastAsia"/>
          <w:b/>
          <w:bCs/>
          <w:sz w:val="21"/>
          <w:szCs w:val="21"/>
          <w:u w:val="none"/>
          <w:lang w:val="en-US" w:eastAsia="zh-CN"/>
        </w:rPr>
        <w:t>山东万达化工有限公司</w:t>
      </w:r>
      <w:r>
        <w:rPr>
          <w:rFonts w:hint="eastAsia" w:asciiTheme="majorEastAsia" w:hAnsiTheme="majorEastAsia" w:eastAsiaTheme="majorEastAsia" w:cstheme="majorEastAsia"/>
          <w:sz w:val="21"/>
          <w:szCs w:val="21"/>
          <w:lang w:val="en-US" w:eastAsia="zh-CN"/>
        </w:rPr>
        <w:t>2024年第三季度LDAR普查表</w:t>
      </w:r>
      <w:bookmarkEnd w:id="110"/>
    </w:p>
    <w:p w14:paraId="7017F71F">
      <w:pPr>
        <w:jc w:val="righ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color w:val="000000"/>
          <w:kern w:val="2"/>
          <w:sz w:val="21"/>
          <w:szCs w:val="21"/>
          <w:lang w:val="en-US" w:eastAsia="zh-CN" w:bidi="ar-SA"/>
        </w:rPr>
        <w:t>填表日期：2024年09月23日</w:t>
      </w:r>
    </w:p>
    <w:tbl>
      <w:tblPr>
        <w:tblStyle w:val="13"/>
        <w:tblpPr w:leftFromText="180" w:rightFromText="180" w:vertAnchor="text" w:horzAnchor="page" w:tblpX="1142" w:tblpY="54"/>
        <w:tblOverlap w:val="never"/>
        <w:tblW w:w="4984"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47"/>
        <w:gridCol w:w="1206"/>
        <w:gridCol w:w="1233"/>
        <w:gridCol w:w="1206"/>
        <w:gridCol w:w="1383"/>
        <w:gridCol w:w="1344"/>
        <w:gridCol w:w="1344"/>
        <w:gridCol w:w="1713"/>
        <w:gridCol w:w="1356"/>
        <w:gridCol w:w="1807"/>
      </w:tblGrid>
      <w:tr w14:paraId="7C555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7" w:type="dxa"/>
            <w:vMerge w:val="restart"/>
            <w:vAlign w:val="center"/>
          </w:tcPr>
          <w:p w14:paraId="424D501A">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基本信息</w:t>
            </w:r>
          </w:p>
        </w:tc>
        <w:tc>
          <w:tcPr>
            <w:tcW w:w="3575" w:type="dxa"/>
            <w:gridSpan w:val="3"/>
            <w:vAlign w:val="center"/>
          </w:tcPr>
          <w:p w14:paraId="695395CC">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企业名称</w:t>
            </w:r>
          </w:p>
        </w:tc>
        <w:tc>
          <w:tcPr>
            <w:tcW w:w="8774" w:type="dxa"/>
            <w:gridSpan w:val="6"/>
            <w:vAlign w:val="center"/>
          </w:tcPr>
          <w:p w14:paraId="79506B59">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山东万达化工有限公司</w:t>
            </w:r>
          </w:p>
        </w:tc>
      </w:tr>
      <w:tr w14:paraId="584286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7" w:type="dxa"/>
            <w:vMerge w:val="continue"/>
            <w:vAlign w:val="center"/>
          </w:tcPr>
          <w:p w14:paraId="0BAAFC3A">
            <w:pPr>
              <w:pStyle w:val="23"/>
              <w:rPr>
                <w:rFonts w:hint="eastAsia" w:asciiTheme="majorEastAsia" w:hAnsiTheme="majorEastAsia" w:eastAsiaTheme="majorEastAsia" w:cstheme="majorEastAsia"/>
                <w:color w:val="auto"/>
                <w:sz w:val="21"/>
                <w:szCs w:val="21"/>
              </w:rPr>
            </w:pPr>
          </w:p>
        </w:tc>
        <w:tc>
          <w:tcPr>
            <w:tcW w:w="3575" w:type="dxa"/>
            <w:gridSpan w:val="3"/>
            <w:vAlign w:val="center"/>
          </w:tcPr>
          <w:p w14:paraId="6D96EEA1">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LDAR主管部门</w:t>
            </w:r>
          </w:p>
        </w:tc>
        <w:tc>
          <w:tcPr>
            <w:tcW w:w="8774" w:type="dxa"/>
            <w:gridSpan w:val="6"/>
            <w:vAlign w:val="center"/>
          </w:tcPr>
          <w:p w14:paraId="033DDAFF">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安环部</w:t>
            </w:r>
          </w:p>
        </w:tc>
      </w:tr>
      <w:tr w14:paraId="5EF086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7" w:type="dxa"/>
            <w:vMerge w:val="continue"/>
            <w:vAlign w:val="center"/>
          </w:tcPr>
          <w:p w14:paraId="6A41247C">
            <w:pPr>
              <w:pStyle w:val="23"/>
              <w:rPr>
                <w:rFonts w:hint="eastAsia" w:asciiTheme="majorEastAsia" w:hAnsiTheme="majorEastAsia" w:eastAsiaTheme="majorEastAsia" w:cstheme="majorEastAsia"/>
                <w:color w:val="auto"/>
                <w:sz w:val="21"/>
                <w:szCs w:val="21"/>
              </w:rPr>
            </w:pPr>
          </w:p>
        </w:tc>
        <w:tc>
          <w:tcPr>
            <w:tcW w:w="3575" w:type="dxa"/>
            <w:gridSpan w:val="3"/>
            <w:vAlign w:val="center"/>
          </w:tcPr>
          <w:p w14:paraId="71754F02">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联系人</w:t>
            </w:r>
          </w:p>
        </w:tc>
        <w:tc>
          <w:tcPr>
            <w:tcW w:w="8774" w:type="dxa"/>
            <w:gridSpan w:val="6"/>
            <w:vAlign w:val="center"/>
          </w:tcPr>
          <w:p w14:paraId="55E46183">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韩经理</w:t>
            </w:r>
          </w:p>
        </w:tc>
      </w:tr>
      <w:tr w14:paraId="1720CE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7" w:type="dxa"/>
            <w:vMerge w:val="continue"/>
            <w:vAlign w:val="center"/>
          </w:tcPr>
          <w:p w14:paraId="796F4AE3">
            <w:pPr>
              <w:pStyle w:val="23"/>
              <w:rPr>
                <w:rFonts w:hint="eastAsia" w:asciiTheme="majorEastAsia" w:hAnsiTheme="majorEastAsia" w:eastAsiaTheme="majorEastAsia" w:cstheme="majorEastAsia"/>
                <w:color w:val="auto"/>
                <w:sz w:val="21"/>
                <w:szCs w:val="21"/>
              </w:rPr>
            </w:pPr>
          </w:p>
        </w:tc>
        <w:tc>
          <w:tcPr>
            <w:tcW w:w="3575" w:type="dxa"/>
            <w:gridSpan w:val="3"/>
            <w:vAlign w:val="center"/>
          </w:tcPr>
          <w:p w14:paraId="6FE1CEDE">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电话</w:t>
            </w:r>
          </w:p>
        </w:tc>
        <w:tc>
          <w:tcPr>
            <w:tcW w:w="8774" w:type="dxa"/>
            <w:gridSpan w:val="6"/>
            <w:vAlign w:val="center"/>
          </w:tcPr>
          <w:p w14:paraId="38E9D2E4">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i w:val="0"/>
                <w:iCs w:val="0"/>
                <w:caps w:val="0"/>
                <w:color w:val="auto"/>
                <w:spacing w:val="0"/>
                <w:sz w:val="21"/>
                <w:szCs w:val="21"/>
                <w:shd w:val="clear" w:fill="FFFFFF"/>
                <w:lang w:val="en-US" w:eastAsia="zh-CN"/>
              </w:rPr>
              <w:t>15266058121</w:t>
            </w:r>
          </w:p>
        </w:tc>
      </w:tr>
      <w:tr w14:paraId="0118A6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2107" w:type="dxa"/>
            <w:vMerge w:val="continue"/>
            <w:vAlign w:val="center"/>
          </w:tcPr>
          <w:p w14:paraId="1FE7434C">
            <w:pPr>
              <w:pStyle w:val="23"/>
              <w:rPr>
                <w:rFonts w:hint="eastAsia" w:asciiTheme="majorEastAsia" w:hAnsiTheme="majorEastAsia" w:eastAsiaTheme="majorEastAsia" w:cstheme="majorEastAsia"/>
                <w:color w:val="auto"/>
                <w:sz w:val="21"/>
                <w:szCs w:val="21"/>
              </w:rPr>
            </w:pPr>
          </w:p>
        </w:tc>
        <w:tc>
          <w:tcPr>
            <w:tcW w:w="3575" w:type="dxa"/>
            <w:gridSpan w:val="3"/>
            <w:vAlign w:val="center"/>
          </w:tcPr>
          <w:p w14:paraId="2C089CAF">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邮箱</w:t>
            </w:r>
          </w:p>
        </w:tc>
        <w:tc>
          <w:tcPr>
            <w:tcW w:w="8774" w:type="dxa"/>
            <w:gridSpan w:val="6"/>
            <w:vAlign w:val="center"/>
          </w:tcPr>
          <w:p w14:paraId="26DDD85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r>
      <w:tr w14:paraId="35E23D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7" w:type="dxa"/>
            <w:vAlign w:val="center"/>
          </w:tcPr>
          <w:p w14:paraId="06A01D2F">
            <w:pPr>
              <w:pStyle w:val="23"/>
              <w:rPr>
                <w:rFonts w:hint="eastAsia" w:asciiTheme="majorEastAsia" w:hAnsiTheme="majorEastAsia" w:eastAsiaTheme="majorEastAsia" w:cstheme="majorEastAsia"/>
                <w:color w:val="auto"/>
                <w:kern w:val="16"/>
                <w:sz w:val="21"/>
                <w:szCs w:val="21"/>
              </w:rPr>
            </w:pPr>
            <w:r>
              <w:rPr>
                <w:rFonts w:hint="eastAsia" w:asciiTheme="majorEastAsia" w:hAnsiTheme="majorEastAsia" w:eastAsiaTheme="majorEastAsia" w:cstheme="majorEastAsia"/>
                <w:color w:val="auto"/>
                <w:sz w:val="21"/>
                <w:szCs w:val="21"/>
              </w:rPr>
              <w:t>年度</w:t>
            </w:r>
          </w:p>
        </w:tc>
        <w:tc>
          <w:tcPr>
            <w:tcW w:w="12349" w:type="dxa"/>
            <w:gridSpan w:val="9"/>
            <w:vAlign w:val="center"/>
          </w:tcPr>
          <w:p w14:paraId="41F9D542">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rPr>
              <w:t>202</w:t>
            </w:r>
            <w:r>
              <w:rPr>
                <w:rFonts w:hint="eastAsia" w:asciiTheme="majorEastAsia" w:hAnsiTheme="majorEastAsia" w:eastAsiaTheme="majorEastAsia" w:cstheme="majorEastAsia"/>
                <w:color w:val="auto"/>
                <w:sz w:val="21"/>
                <w:szCs w:val="21"/>
                <w:lang w:val="en-US" w:eastAsia="zh-CN"/>
              </w:rPr>
              <w:t>4</w:t>
            </w:r>
            <w:r>
              <w:rPr>
                <w:rFonts w:hint="eastAsia" w:asciiTheme="majorEastAsia" w:hAnsiTheme="majorEastAsia" w:eastAsiaTheme="majorEastAsia" w:cstheme="majorEastAsia"/>
                <w:color w:val="auto"/>
                <w:sz w:val="21"/>
                <w:szCs w:val="21"/>
              </w:rPr>
              <w:t>年</w:t>
            </w:r>
            <w:r>
              <w:rPr>
                <w:rFonts w:hint="eastAsia" w:asciiTheme="majorEastAsia" w:hAnsiTheme="majorEastAsia" w:eastAsiaTheme="majorEastAsia" w:cstheme="majorEastAsia"/>
                <w:color w:val="auto"/>
                <w:sz w:val="21"/>
                <w:szCs w:val="21"/>
                <w:lang w:val="en-US" w:eastAsia="zh-CN"/>
              </w:rPr>
              <w:t>01月-2024年09月</w:t>
            </w:r>
          </w:p>
        </w:tc>
      </w:tr>
      <w:tr w14:paraId="15E1AA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4" w:type="dxa"/>
            <w:gridSpan w:val="8"/>
            <w:vAlign w:val="center"/>
          </w:tcPr>
          <w:p w14:paraId="6A9EEF19">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检测统计</w:t>
            </w:r>
          </w:p>
        </w:tc>
        <w:tc>
          <w:tcPr>
            <w:tcW w:w="3102" w:type="dxa"/>
            <w:gridSpan w:val="2"/>
            <w:vAlign w:val="center"/>
          </w:tcPr>
          <w:p w14:paraId="03BC61B7">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修复统计</w:t>
            </w:r>
          </w:p>
        </w:tc>
      </w:tr>
      <w:tr w14:paraId="3F20FA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07" w:type="dxa"/>
            <w:vAlign w:val="center"/>
          </w:tcPr>
          <w:p w14:paraId="43CC27AE">
            <w:pPr>
              <w:pStyle w:val="23"/>
              <w:rPr>
                <w:rFonts w:hint="eastAsia" w:asciiTheme="majorEastAsia" w:hAnsiTheme="majorEastAsia" w:eastAsiaTheme="majorEastAsia" w:cstheme="majorEastAsia"/>
                <w:b/>
                <w:bCs/>
                <w:color w:val="auto"/>
                <w:kern w:val="16"/>
                <w:sz w:val="22"/>
                <w:szCs w:val="22"/>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装置名称</w:t>
            </w:r>
          </w:p>
        </w:tc>
        <w:tc>
          <w:tcPr>
            <w:tcW w:w="1183" w:type="dxa"/>
            <w:vAlign w:val="center"/>
          </w:tcPr>
          <w:p w14:paraId="4F7DD882">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受控密封</w:t>
            </w:r>
          </w:p>
          <w:p w14:paraId="307F85B5">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bCs/>
                <w:color w:val="auto"/>
                <w:kern w:val="16"/>
                <w:sz w:val="22"/>
                <w:szCs w:val="22"/>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点数</w:t>
            </w:r>
            <w:r>
              <w:rPr>
                <w:rFonts w:hint="eastAsia" w:asciiTheme="majorEastAsia" w:hAnsiTheme="majorEastAsia" w:eastAsiaTheme="majorEastAsia" w:cstheme="majorEastAsia"/>
                <w:color w:val="000000"/>
                <w:kern w:val="0"/>
                <w:sz w:val="20"/>
                <w:szCs w:val="20"/>
                <w:vertAlign w:val="superscript"/>
                <w:lang w:val="en-US" w:eastAsia="zh-CN" w:bidi="ar"/>
              </w:rPr>
              <w:t>a</w:t>
            </w:r>
          </w:p>
        </w:tc>
        <w:tc>
          <w:tcPr>
            <w:tcW w:w="1209" w:type="dxa"/>
            <w:vAlign w:val="center"/>
          </w:tcPr>
          <w:p w14:paraId="7661A753">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检测密</w:t>
            </w:r>
          </w:p>
          <w:p w14:paraId="53037F75">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16"/>
                <w:sz w:val="22"/>
                <w:szCs w:val="22"/>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封点次</w:t>
            </w:r>
            <w:r>
              <w:rPr>
                <w:rFonts w:hint="eastAsia" w:asciiTheme="majorEastAsia" w:hAnsiTheme="majorEastAsia" w:eastAsiaTheme="majorEastAsia" w:cstheme="majorEastAsia"/>
                <w:sz w:val="22"/>
                <w:szCs w:val="22"/>
                <w:vertAlign w:val="superscript"/>
                <w:lang w:val="en-US" w:eastAsia="zh-CN"/>
              </w:rPr>
              <w:t>b</w:t>
            </w:r>
          </w:p>
        </w:tc>
        <w:tc>
          <w:tcPr>
            <w:tcW w:w="1183" w:type="dxa"/>
            <w:vAlign w:val="center"/>
          </w:tcPr>
          <w:p w14:paraId="4B7CDA23">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泄漏</w:t>
            </w:r>
          </w:p>
          <w:p w14:paraId="0D7C31AD">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16"/>
                <w:sz w:val="22"/>
                <w:szCs w:val="22"/>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点次</w:t>
            </w:r>
            <w:r>
              <w:rPr>
                <w:rFonts w:hint="eastAsia" w:asciiTheme="majorEastAsia" w:hAnsiTheme="majorEastAsia" w:eastAsiaTheme="majorEastAsia" w:cstheme="majorEastAsia"/>
                <w:sz w:val="22"/>
                <w:szCs w:val="22"/>
                <w:vertAlign w:val="superscript"/>
                <w:lang w:val="en-US" w:eastAsia="zh-CN"/>
              </w:rPr>
              <w:t>c</w:t>
            </w:r>
          </w:p>
        </w:tc>
        <w:tc>
          <w:tcPr>
            <w:tcW w:w="1356" w:type="dxa"/>
            <w:vAlign w:val="center"/>
          </w:tcPr>
          <w:p w14:paraId="7AE1B0DB">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2"/>
                <w:szCs w:val="22"/>
                <w:lang w:val="en-US" w:eastAsia="zh-CN" w:bidi="ar-SA"/>
              </w:rPr>
            </w:pPr>
            <w:r>
              <w:rPr>
                <w:rFonts w:hint="eastAsia" w:asciiTheme="majorEastAsia" w:hAnsiTheme="majorEastAsia" w:eastAsiaTheme="majorEastAsia" w:cstheme="majorEastAsia"/>
                <w:sz w:val="21"/>
                <w:szCs w:val="21"/>
              </w:rPr>
              <w:t>严重泄漏点次</w:t>
            </w:r>
            <w:r>
              <w:rPr>
                <w:rFonts w:hint="eastAsia" w:asciiTheme="majorEastAsia" w:hAnsiTheme="majorEastAsia" w:eastAsiaTheme="majorEastAsia" w:cstheme="majorEastAsia"/>
                <w:sz w:val="22"/>
                <w:szCs w:val="22"/>
                <w:vertAlign w:val="superscript"/>
                <w:lang w:val="en-US" w:eastAsia="zh-CN"/>
              </w:rPr>
              <w:t>d</w:t>
            </w:r>
          </w:p>
        </w:tc>
        <w:tc>
          <w:tcPr>
            <w:tcW w:w="1318" w:type="dxa"/>
            <w:vAlign w:val="center"/>
          </w:tcPr>
          <w:p w14:paraId="7018FBFE">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2"/>
                <w:szCs w:val="22"/>
                <w:lang w:val="en-US" w:eastAsia="zh-CN" w:bidi="ar-SA"/>
              </w:rPr>
            </w:pPr>
            <w:r>
              <w:rPr>
                <w:rFonts w:hint="eastAsia" w:asciiTheme="majorEastAsia" w:hAnsiTheme="majorEastAsia" w:eastAsiaTheme="majorEastAsia" w:cstheme="majorEastAsia"/>
                <w:sz w:val="21"/>
                <w:szCs w:val="21"/>
              </w:rPr>
              <w:t>多次严重泄漏点</w:t>
            </w:r>
            <w:r>
              <w:rPr>
                <w:rFonts w:hint="eastAsia" w:asciiTheme="majorEastAsia" w:hAnsiTheme="majorEastAsia" w:eastAsiaTheme="majorEastAsia" w:cstheme="majorEastAsia"/>
                <w:sz w:val="22"/>
                <w:szCs w:val="22"/>
                <w:vertAlign w:val="superscript"/>
                <w:lang w:val="en-US" w:eastAsia="zh-CN"/>
              </w:rPr>
              <w:t>e</w:t>
            </w:r>
          </w:p>
        </w:tc>
        <w:tc>
          <w:tcPr>
            <w:tcW w:w="1318" w:type="dxa"/>
            <w:vAlign w:val="center"/>
          </w:tcPr>
          <w:p w14:paraId="4DAED646">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2"/>
                <w:szCs w:val="22"/>
                <w:lang w:val="en-US" w:eastAsia="zh-CN" w:bidi="ar-SA"/>
              </w:rPr>
            </w:pPr>
            <w:r>
              <w:rPr>
                <w:rFonts w:hint="eastAsia" w:asciiTheme="majorEastAsia" w:hAnsiTheme="majorEastAsia" w:eastAsiaTheme="majorEastAsia" w:cstheme="majorEastAsia"/>
                <w:sz w:val="21"/>
                <w:szCs w:val="21"/>
              </w:rPr>
              <w:t>本年度平均泄漏率</w:t>
            </w:r>
            <w:r>
              <w:rPr>
                <w:rFonts w:hint="eastAsia" w:asciiTheme="majorEastAsia" w:hAnsiTheme="majorEastAsia" w:eastAsiaTheme="majorEastAsia" w:cstheme="majorEastAsia"/>
                <w:sz w:val="22"/>
                <w:szCs w:val="22"/>
                <w:vertAlign w:val="superscript"/>
                <w:lang w:val="en-US" w:eastAsia="zh-CN"/>
              </w:rPr>
              <w:t>f</w:t>
            </w:r>
            <w:r>
              <w:rPr>
                <w:rFonts w:hint="eastAsia" w:asciiTheme="majorEastAsia" w:hAnsiTheme="majorEastAsia" w:eastAsiaTheme="majorEastAsia" w:cstheme="majorEastAsia"/>
                <w:sz w:val="22"/>
                <w:szCs w:val="22"/>
              </w:rPr>
              <w:t>%</w:t>
            </w:r>
          </w:p>
        </w:tc>
        <w:tc>
          <w:tcPr>
            <w:tcW w:w="1680" w:type="dxa"/>
            <w:vAlign w:val="center"/>
          </w:tcPr>
          <w:p w14:paraId="162CC43D">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2"/>
                <w:szCs w:val="22"/>
                <w:lang w:val="en-US" w:eastAsia="zh-CN" w:bidi="ar-SA"/>
              </w:rPr>
            </w:pPr>
            <w:r>
              <w:rPr>
                <w:rFonts w:hint="eastAsia" w:asciiTheme="majorEastAsia" w:hAnsiTheme="majorEastAsia" w:eastAsiaTheme="majorEastAsia" w:cstheme="majorEastAsia"/>
                <w:sz w:val="21"/>
                <w:szCs w:val="21"/>
              </w:rPr>
              <w:t>本年度平均严重泄漏率</w:t>
            </w:r>
            <w:r>
              <w:rPr>
                <w:rFonts w:hint="eastAsia" w:asciiTheme="majorEastAsia" w:hAnsiTheme="majorEastAsia" w:eastAsiaTheme="majorEastAsia" w:cstheme="majorEastAsia"/>
                <w:sz w:val="22"/>
                <w:szCs w:val="22"/>
                <w:vertAlign w:val="superscript"/>
                <w:lang w:val="en-US" w:eastAsia="zh-CN"/>
              </w:rPr>
              <w:t>g</w:t>
            </w:r>
            <w:r>
              <w:rPr>
                <w:rFonts w:hint="eastAsia" w:asciiTheme="majorEastAsia" w:hAnsiTheme="majorEastAsia" w:eastAsiaTheme="majorEastAsia" w:cstheme="majorEastAsia"/>
                <w:sz w:val="22"/>
                <w:szCs w:val="22"/>
              </w:rPr>
              <w:t>%</w:t>
            </w:r>
          </w:p>
        </w:tc>
        <w:tc>
          <w:tcPr>
            <w:tcW w:w="1330" w:type="dxa"/>
            <w:vAlign w:val="center"/>
          </w:tcPr>
          <w:p w14:paraId="6AD7DF71">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1"/>
                <w:szCs w:val="21"/>
                <w:lang w:val="en-US" w:eastAsia="zh-CN" w:bidi="ar-SA"/>
              </w:rPr>
            </w:pPr>
            <w:r>
              <w:rPr>
                <w:rFonts w:hint="eastAsia" w:asciiTheme="majorEastAsia" w:hAnsiTheme="majorEastAsia" w:eastAsiaTheme="majorEastAsia" w:cstheme="majorEastAsia"/>
                <w:sz w:val="21"/>
                <w:szCs w:val="21"/>
              </w:rPr>
              <w:t>累计修复泄漏点</w:t>
            </w:r>
          </w:p>
        </w:tc>
        <w:tc>
          <w:tcPr>
            <w:tcW w:w="1772" w:type="dxa"/>
            <w:vAlign w:val="center"/>
          </w:tcPr>
          <w:p w14:paraId="691542E9">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1"/>
                <w:szCs w:val="21"/>
                <w:lang w:val="en-US" w:eastAsia="zh-CN" w:bidi="ar-SA"/>
              </w:rPr>
            </w:pPr>
            <w:r>
              <w:rPr>
                <w:rFonts w:hint="eastAsia" w:asciiTheme="majorEastAsia" w:hAnsiTheme="majorEastAsia" w:eastAsiaTheme="majorEastAsia" w:cstheme="majorEastAsia"/>
                <w:sz w:val="21"/>
                <w:szCs w:val="21"/>
              </w:rPr>
              <w:t>累计延迟修复泄漏点数</w:t>
            </w:r>
          </w:p>
        </w:tc>
      </w:tr>
      <w:tr w14:paraId="6F958E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82" w:hRule="atLeast"/>
        </w:trPr>
        <w:tc>
          <w:tcPr>
            <w:tcW w:w="2107" w:type="dxa"/>
            <w:vAlign w:val="center"/>
          </w:tcPr>
          <w:p w14:paraId="0C0A3F09">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sz w:val="24"/>
                <w:szCs w:val="21"/>
                <w:lang w:val="en-US" w:eastAsia="zh-CN" w:bidi="ar-SA"/>
              </w:rPr>
            </w:pPr>
            <w:r>
              <w:rPr>
                <w:rFonts w:hint="eastAsia" w:asciiTheme="majorEastAsia" w:hAnsiTheme="majorEastAsia" w:eastAsiaTheme="majorEastAsia" w:cstheme="majorEastAsia"/>
                <w:sz w:val="21"/>
                <w:szCs w:val="21"/>
                <w:lang w:val="en-US" w:eastAsia="zh-CN"/>
              </w:rPr>
              <w:t>ODA一装置</w:t>
            </w:r>
          </w:p>
        </w:tc>
        <w:tc>
          <w:tcPr>
            <w:tcW w:w="1183" w:type="dxa"/>
            <w:vAlign w:val="center"/>
          </w:tcPr>
          <w:p w14:paraId="088490D9">
            <w:pPr>
              <w:pStyle w:val="26"/>
              <w:ind w:firstLine="0" w:firstLineChars="0"/>
              <w:jc w:val="center"/>
              <w:rPr>
                <w:rFonts w:hint="default"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bCs/>
                <w:sz w:val="21"/>
                <w:szCs w:val="21"/>
                <w:lang w:val="en-US" w:eastAsia="zh-CN"/>
              </w:rPr>
              <w:t>2186</w:t>
            </w:r>
          </w:p>
        </w:tc>
        <w:tc>
          <w:tcPr>
            <w:tcW w:w="1209" w:type="dxa"/>
            <w:vAlign w:val="center"/>
          </w:tcPr>
          <w:p w14:paraId="46EC6EF6">
            <w:pPr>
              <w:pStyle w:val="26"/>
              <w:ind w:firstLine="0" w:firstLineChars="0"/>
              <w:jc w:val="center"/>
              <w:rPr>
                <w:rFonts w:hint="default" w:asciiTheme="majorEastAsia" w:hAnsiTheme="majorEastAsia" w:eastAsiaTheme="majorEastAsia" w:cstheme="majorEastAsia"/>
                <w:sz w:val="21"/>
                <w:szCs w:val="21"/>
                <w:lang w:val="en-US" w:eastAsia="zh-CN" w:bidi="ar-SA"/>
              </w:rPr>
            </w:pPr>
            <w:r>
              <w:rPr>
                <w:rFonts w:hint="eastAsia" w:asciiTheme="majorEastAsia" w:hAnsiTheme="majorEastAsia" w:eastAsiaTheme="majorEastAsia" w:cstheme="majorEastAsia"/>
                <w:bCs/>
                <w:sz w:val="21"/>
                <w:szCs w:val="21"/>
                <w:lang w:val="en-US" w:eastAsia="zh-CN"/>
              </w:rPr>
              <w:t>2186</w:t>
            </w:r>
          </w:p>
        </w:tc>
        <w:tc>
          <w:tcPr>
            <w:tcW w:w="1183" w:type="dxa"/>
            <w:vAlign w:val="center"/>
          </w:tcPr>
          <w:p w14:paraId="4984D809">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1</w:t>
            </w:r>
          </w:p>
        </w:tc>
        <w:tc>
          <w:tcPr>
            <w:tcW w:w="1356" w:type="dxa"/>
            <w:vAlign w:val="center"/>
          </w:tcPr>
          <w:p w14:paraId="4C3514F2">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0</w:t>
            </w:r>
          </w:p>
        </w:tc>
        <w:tc>
          <w:tcPr>
            <w:tcW w:w="1318" w:type="dxa"/>
            <w:vAlign w:val="center"/>
          </w:tcPr>
          <w:p w14:paraId="4B80CC05">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0</w:t>
            </w:r>
          </w:p>
        </w:tc>
        <w:tc>
          <w:tcPr>
            <w:tcW w:w="1318" w:type="dxa"/>
            <w:vAlign w:val="center"/>
          </w:tcPr>
          <w:p w14:paraId="109A5E9C">
            <w:pPr>
              <w:pStyle w:val="23"/>
              <w:rPr>
                <w:rFonts w:hint="default"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0.05</w:t>
            </w:r>
          </w:p>
        </w:tc>
        <w:tc>
          <w:tcPr>
            <w:tcW w:w="1680" w:type="dxa"/>
            <w:vAlign w:val="center"/>
          </w:tcPr>
          <w:p w14:paraId="06D8CBC0">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0.00</w:t>
            </w:r>
          </w:p>
        </w:tc>
        <w:tc>
          <w:tcPr>
            <w:tcW w:w="1330" w:type="dxa"/>
            <w:vAlign w:val="center"/>
          </w:tcPr>
          <w:p w14:paraId="44F477C7">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1</w:t>
            </w:r>
          </w:p>
        </w:tc>
        <w:tc>
          <w:tcPr>
            <w:tcW w:w="1772" w:type="dxa"/>
            <w:vAlign w:val="center"/>
          </w:tcPr>
          <w:p w14:paraId="54FA5A2E">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0</w:t>
            </w:r>
          </w:p>
        </w:tc>
      </w:tr>
      <w:tr w14:paraId="497231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07" w:type="dxa"/>
            <w:vAlign w:val="center"/>
          </w:tcPr>
          <w:p w14:paraId="3459CA2A">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sz w:val="24"/>
                <w:szCs w:val="21"/>
                <w:lang w:val="en-US" w:eastAsia="zh-CN" w:bidi="ar-SA"/>
              </w:rPr>
            </w:pPr>
            <w:r>
              <w:rPr>
                <w:rFonts w:hint="eastAsia" w:asciiTheme="majorEastAsia" w:hAnsiTheme="majorEastAsia" w:eastAsiaTheme="majorEastAsia" w:cstheme="majorEastAsia"/>
                <w:sz w:val="21"/>
                <w:szCs w:val="21"/>
                <w:lang w:val="en-US" w:eastAsia="zh-CN"/>
              </w:rPr>
              <w:t>ODA二装置</w:t>
            </w:r>
          </w:p>
        </w:tc>
        <w:tc>
          <w:tcPr>
            <w:tcW w:w="1183" w:type="dxa"/>
            <w:vAlign w:val="center"/>
          </w:tcPr>
          <w:p w14:paraId="68BAD093">
            <w:pPr>
              <w:pStyle w:val="26"/>
              <w:ind w:firstLine="0" w:firstLineChars="0"/>
              <w:jc w:val="center"/>
              <w:rPr>
                <w:rFonts w:hint="default" w:asciiTheme="majorEastAsia" w:hAnsiTheme="majorEastAsia" w:eastAsiaTheme="majorEastAsia" w:cstheme="majorEastAsia"/>
                <w:bCs/>
                <w:color w:val="auto"/>
                <w:sz w:val="21"/>
                <w:szCs w:val="21"/>
                <w:lang w:val="en-US" w:eastAsia="zh-CN" w:bidi="ar-SA"/>
              </w:rPr>
            </w:pPr>
            <w:r>
              <w:rPr>
                <w:rFonts w:hint="eastAsia" w:asciiTheme="majorEastAsia" w:hAnsiTheme="majorEastAsia" w:eastAsiaTheme="majorEastAsia" w:cstheme="majorEastAsia"/>
                <w:bCs/>
                <w:color w:val="auto"/>
                <w:sz w:val="21"/>
                <w:szCs w:val="21"/>
                <w:lang w:val="en-US" w:eastAsia="zh-CN" w:bidi="ar-SA"/>
              </w:rPr>
              <w:t>5019</w:t>
            </w:r>
          </w:p>
        </w:tc>
        <w:tc>
          <w:tcPr>
            <w:tcW w:w="1209" w:type="dxa"/>
            <w:vAlign w:val="center"/>
          </w:tcPr>
          <w:p w14:paraId="7A235872">
            <w:pPr>
              <w:pStyle w:val="26"/>
              <w:ind w:firstLine="0" w:firstLineChars="0"/>
              <w:jc w:val="center"/>
              <w:rPr>
                <w:rFonts w:hint="default" w:asciiTheme="majorEastAsia" w:hAnsiTheme="majorEastAsia" w:eastAsiaTheme="majorEastAsia" w:cstheme="majorEastAsia"/>
                <w:sz w:val="21"/>
                <w:szCs w:val="21"/>
                <w:lang w:val="en-US" w:eastAsia="zh-CN" w:bidi="ar-SA"/>
              </w:rPr>
            </w:pPr>
            <w:r>
              <w:rPr>
                <w:rFonts w:hint="eastAsia" w:asciiTheme="majorEastAsia" w:hAnsiTheme="majorEastAsia" w:eastAsiaTheme="majorEastAsia" w:cstheme="majorEastAsia"/>
                <w:bCs/>
                <w:sz w:val="21"/>
                <w:szCs w:val="21"/>
                <w:lang w:val="en-US" w:eastAsia="zh-CN"/>
              </w:rPr>
              <w:t>4829</w:t>
            </w:r>
          </w:p>
        </w:tc>
        <w:tc>
          <w:tcPr>
            <w:tcW w:w="1183" w:type="dxa"/>
            <w:vAlign w:val="center"/>
          </w:tcPr>
          <w:p w14:paraId="493CDBB3">
            <w:pPr>
              <w:pStyle w:val="23"/>
              <w:rPr>
                <w:rFonts w:hint="default"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t>5</w:t>
            </w:r>
          </w:p>
        </w:tc>
        <w:tc>
          <w:tcPr>
            <w:tcW w:w="1356" w:type="dxa"/>
            <w:vAlign w:val="center"/>
          </w:tcPr>
          <w:p w14:paraId="3BF54DB7">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0</w:t>
            </w:r>
          </w:p>
        </w:tc>
        <w:tc>
          <w:tcPr>
            <w:tcW w:w="1318" w:type="dxa"/>
            <w:vAlign w:val="center"/>
          </w:tcPr>
          <w:p w14:paraId="1D55CB13">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0</w:t>
            </w:r>
          </w:p>
        </w:tc>
        <w:tc>
          <w:tcPr>
            <w:tcW w:w="1318" w:type="dxa"/>
            <w:vAlign w:val="center"/>
          </w:tcPr>
          <w:p w14:paraId="5F2A6BAD">
            <w:pPr>
              <w:pStyle w:val="23"/>
              <w:rPr>
                <w:rFonts w:hint="default"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0.10</w:t>
            </w:r>
          </w:p>
        </w:tc>
        <w:tc>
          <w:tcPr>
            <w:tcW w:w="1680" w:type="dxa"/>
            <w:vAlign w:val="center"/>
          </w:tcPr>
          <w:p w14:paraId="18B834CB">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0.00</w:t>
            </w:r>
          </w:p>
        </w:tc>
        <w:tc>
          <w:tcPr>
            <w:tcW w:w="1330" w:type="dxa"/>
            <w:vAlign w:val="center"/>
          </w:tcPr>
          <w:p w14:paraId="41ED11C7">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t>5</w:t>
            </w:r>
          </w:p>
        </w:tc>
        <w:tc>
          <w:tcPr>
            <w:tcW w:w="1772" w:type="dxa"/>
            <w:vAlign w:val="center"/>
          </w:tcPr>
          <w:p w14:paraId="15A867AA">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0</w:t>
            </w:r>
          </w:p>
        </w:tc>
      </w:tr>
      <w:tr w14:paraId="455139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07" w:type="dxa"/>
            <w:vAlign w:val="center"/>
          </w:tcPr>
          <w:p w14:paraId="709F8C9F">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sz w:val="21"/>
                <w:szCs w:val="21"/>
                <w:lang w:val="en-US" w:eastAsia="zh-CN"/>
              </w:rPr>
              <w:t>储运装置</w:t>
            </w:r>
          </w:p>
        </w:tc>
        <w:tc>
          <w:tcPr>
            <w:tcW w:w="1183" w:type="dxa"/>
            <w:vAlign w:val="center"/>
          </w:tcPr>
          <w:p w14:paraId="541116CE">
            <w:pPr>
              <w:pStyle w:val="26"/>
              <w:ind w:firstLine="0" w:firstLineChars="0"/>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bCs/>
                <w:sz w:val="21"/>
                <w:szCs w:val="21"/>
                <w:lang w:val="en-US" w:eastAsia="zh-CN"/>
              </w:rPr>
              <w:t>2112</w:t>
            </w:r>
          </w:p>
        </w:tc>
        <w:tc>
          <w:tcPr>
            <w:tcW w:w="1209" w:type="dxa"/>
            <w:vAlign w:val="center"/>
          </w:tcPr>
          <w:p w14:paraId="32B0A2E5">
            <w:pPr>
              <w:pStyle w:val="26"/>
              <w:ind w:firstLine="0" w:firstLineChars="0"/>
              <w:jc w:val="center"/>
              <w:rPr>
                <w:rFonts w:hint="default" w:asciiTheme="majorEastAsia" w:hAnsiTheme="majorEastAsia" w:eastAsiaTheme="majorEastAsia" w:cstheme="majorEastAsia"/>
                <w:bCs/>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en-US" w:eastAsia="zh-CN"/>
                <w14:textFill>
                  <w14:solidFill>
                    <w14:schemeClr w14:val="tx1"/>
                  </w14:solidFill>
                </w14:textFill>
              </w:rPr>
              <w:t>1893</w:t>
            </w:r>
          </w:p>
        </w:tc>
        <w:tc>
          <w:tcPr>
            <w:tcW w:w="1183" w:type="dxa"/>
            <w:vAlign w:val="center"/>
          </w:tcPr>
          <w:p w14:paraId="2FCDB22D">
            <w:pPr>
              <w:pStyle w:val="23"/>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w:t>
            </w:r>
          </w:p>
        </w:tc>
        <w:tc>
          <w:tcPr>
            <w:tcW w:w="1356" w:type="dxa"/>
            <w:vAlign w:val="center"/>
          </w:tcPr>
          <w:p w14:paraId="26EBE771">
            <w:pPr>
              <w:pStyle w:val="23"/>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0</w:t>
            </w:r>
          </w:p>
        </w:tc>
        <w:tc>
          <w:tcPr>
            <w:tcW w:w="1318" w:type="dxa"/>
            <w:vAlign w:val="center"/>
          </w:tcPr>
          <w:p w14:paraId="2925FE94">
            <w:pPr>
              <w:pStyle w:val="23"/>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0</w:t>
            </w:r>
          </w:p>
        </w:tc>
        <w:tc>
          <w:tcPr>
            <w:tcW w:w="1318" w:type="dxa"/>
            <w:vAlign w:val="center"/>
          </w:tcPr>
          <w:p w14:paraId="1D18412E">
            <w:pPr>
              <w:pStyle w:val="23"/>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0.19</w:t>
            </w:r>
          </w:p>
        </w:tc>
        <w:tc>
          <w:tcPr>
            <w:tcW w:w="1680" w:type="dxa"/>
            <w:vAlign w:val="center"/>
          </w:tcPr>
          <w:p w14:paraId="2B08029C">
            <w:pPr>
              <w:pStyle w:val="23"/>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0.00</w:t>
            </w:r>
          </w:p>
        </w:tc>
        <w:tc>
          <w:tcPr>
            <w:tcW w:w="1330" w:type="dxa"/>
            <w:vAlign w:val="center"/>
          </w:tcPr>
          <w:p w14:paraId="3535D60D">
            <w:pPr>
              <w:pStyle w:val="23"/>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w:t>
            </w:r>
          </w:p>
        </w:tc>
        <w:tc>
          <w:tcPr>
            <w:tcW w:w="1772" w:type="dxa"/>
            <w:vAlign w:val="center"/>
          </w:tcPr>
          <w:p w14:paraId="19CE356A">
            <w:pPr>
              <w:pStyle w:val="23"/>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0</w:t>
            </w:r>
          </w:p>
        </w:tc>
      </w:tr>
      <w:tr w14:paraId="1BAB3F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07" w:type="dxa"/>
            <w:vAlign w:val="center"/>
          </w:tcPr>
          <w:p w14:paraId="30F77498">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新材料一装置</w:t>
            </w:r>
          </w:p>
        </w:tc>
        <w:tc>
          <w:tcPr>
            <w:tcW w:w="1183" w:type="dxa"/>
            <w:vAlign w:val="center"/>
          </w:tcPr>
          <w:p w14:paraId="6360C719">
            <w:pPr>
              <w:pStyle w:val="26"/>
              <w:ind w:firstLine="0" w:firstLineChars="0"/>
              <w:jc w:val="center"/>
              <w:rPr>
                <w:rFonts w:hint="default"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bCs/>
                <w:sz w:val="21"/>
                <w:szCs w:val="21"/>
                <w:lang w:val="en-US" w:eastAsia="zh-CN"/>
              </w:rPr>
              <w:t>8737</w:t>
            </w:r>
          </w:p>
        </w:tc>
        <w:tc>
          <w:tcPr>
            <w:tcW w:w="1209" w:type="dxa"/>
            <w:vAlign w:val="center"/>
          </w:tcPr>
          <w:p w14:paraId="0AE09DAF">
            <w:pPr>
              <w:pStyle w:val="26"/>
              <w:ind w:firstLine="0" w:firstLineChars="0"/>
              <w:jc w:val="center"/>
              <w:rPr>
                <w:rFonts w:hint="default"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bCs/>
                <w:sz w:val="21"/>
                <w:szCs w:val="21"/>
                <w:lang w:val="en-US" w:eastAsia="zh-CN"/>
              </w:rPr>
              <w:t>8151</w:t>
            </w:r>
          </w:p>
        </w:tc>
        <w:tc>
          <w:tcPr>
            <w:tcW w:w="1183" w:type="dxa"/>
            <w:vAlign w:val="center"/>
          </w:tcPr>
          <w:p w14:paraId="07626355">
            <w:pPr>
              <w:pStyle w:val="23"/>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w:t>
            </w:r>
          </w:p>
        </w:tc>
        <w:tc>
          <w:tcPr>
            <w:tcW w:w="1356" w:type="dxa"/>
            <w:vAlign w:val="center"/>
          </w:tcPr>
          <w:p w14:paraId="2A05B062">
            <w:pPr>
              <w:pStyle w:val="23"/>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0</w:t>
            </w:r>
          </w:p>
        </w:tc>
        <w:tc>
          <w:tcPr>
            <w:tcW w:w="1318" w:type="dxa"/>
            <w:vAlign w:val="center"/>
          </w:tcPr>
          <w:p w14:paraId="352D7DA0">
            <w:pPr>
              <w:pStyle w:val="23"/>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0</w:t>
            </w:r>
          </w:p>
        </w:tc>
        <w:tc>
          <w:tcPr>
            <w:tcW w:w="1318" w:type="dxa"/>
            <w:vAlign w:val="center"/>
          </w:tcPr>
          <w:p w14:paraId="3B60F534">
            <w:pPr>
              <w:pStyle w:val="23"/>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0.05</w:t>
            </w:r>
          </w:p>
        </w:tc>
        <w:tc>
          <w:tcPr>
            <w:tcW w:w="1680" w:type="dxa"/>
            <w:vAlign w:val="center"/>
          </w:tcPr>
          <w:p w14:paraId="43D51337">
            <w:pPr>
              <w:pStyle w:val="23"/>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0.00</w:t>
            </w:r>
          </w:p>
        </w:tc>
        <w:tc>
          <w:tcPr>
            <w:tcW w:w="1330" w:type="dxa"/>
            <w:vAlign w:val="center"/>
          </w:tcPr>
          <w:p w14:paraId="4E516FF6">
            <w:pPr>
              <w:pStyle w:val="23"/>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w:t>
            </w:r>
          </w:p>
        </w:tc>
        <w:tc>
          <w:tcPr>
            <w:tcW w:w="1772" w:type="dxa"/>
            <w:vAlign w:val="center"/>
          </w:tcPr>
          <w:p w14:paraId="57053AD3">
            <w:pPr>
              <w:pStyle w:val="23"/>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0</w:t>
            </w:r>
          </w:p>
        </w:tc>
      </w:tr>
      <w:tr w14:paraId="388127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07" w:type="dxa"/>
            <w:vAlign w:val="center"/>
          </w:tcPr>
          <w:p w14:paraId="1E563983">
            <w:pPr>
              <w:pStyle w:val="29"/>
              <w:widowControl/>
              <w:jc w:val="center"/>
              <w:rPr>
                <w:rFonts w:hint="eastAsia" w:asciiTheme="majorEastAsia" w:hAnsiTheme="majorEastAsia" w:eastAsiaTheme="majorEastAsia" w:cstheme="majorEastAsia"/>
                <w:color w:val="000000" w:themeColor="text1"/>
                <w:kern w:val="2"/>
                <w:sz w:val="21"/>
                <w:szCs w:val="22"/>
                <w:lang w:val="en-US" w:eastAsia="zh-CN" w:bidi="ar-SA"/>
                <w14:textFill>
                  <w14:solidFill>
                    <w14:schemeClr w14:val="tx1"/>
                  </w14:solidFill>
                </w14:textFill>
              </w:rPr>
            </w:pPr>
            <w:r>
              <w:rPr>
                <w:rFonts w:hint="eastAsia" w:asciiTheme="majorEastAsia" w:hAnsiTheme="majorEastAsia" w:eastAsiaTheme="majorEastAsia" w:cstheme="majorEastAsia"/>
                <w:color w:val="auto"/>
                <w:szCs w:val="21"/>
                <w:lang w:val="en-US" w:eastAsia="zh-CN"/>
              </w:rPr>
              <w:t>合计</w:t>
            </w:r>
          </w:p>
        </w:tc>
        <w:tc>
          <w:tcPr>
            <w:tcW w:w="1183" w:type="dxa"/>
            <w:vAlign w:val="center"/>
          </w:tcPr>
          <w:p w14:paraId="636ECB71">
            <w:pPr>
              <w:pStyle w:val="26"/>
              <w:ind w:firstLine="0" w:firstLineChars="0"/>
              <w:jc w:val="center"/>
              <w:rPr>
                <w:rFonts w:hint="default"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bidi="ar-SA"/>
              </w:rPr>
              <w:t>18054</w:t>
            </w:r>
          </w:p>
        </w:tc>
        <w:tc>
          <w:tcPr>
            <w:tcW w:w="1209" w:type="dxa"/>
            <w:vAlign w:val="center"/>
          </w:tcPr>
          <w:p w14:paraId="19C41E02">
            <w:pPr>
              <w:pStyle w:val="26"/>
              <w:ind w:firstLine="0" w:firstLineChars="0"/>
              <w:jc w:val="center"/>
              <w:rPr>
                <w:rFonts w:hint="default" w:asciiTheme="majorEastAsia" w:hAnsiTheme="majorEastAsia" w:eastAsiaTheme="majorEastAsia" w:cstheme="majorEastAsia"/>
                <w:sz w:val="21"/>
                <w:szCs w:val="21"/>
                <w:lang w:val="en-US" w:eastAsia="zh-CN" w:bidi="ar-SA"/>
              </w:rPr>
            </w:pPr>
            <w:r>
              <w:rPr>
                <w:rFonts w:hint="eastAsia" w:asciiTheme="majorEastAsia" w:hAnsiTheme="majorEastAsia" w:eastAsiaTheme="majorEastAsia" w:cstheme="majorEastAsia"/>
                <w:bCs/>
                <w:sz w:val="21"/>
                <w:szCs w:val="21"/>
                <w:lang w:val="en-US" w:eastAsia="zh-CN"/>
              </w:rPr>
              <w:t>17059</w:t>
            </w:r>
          </w:p>
        </w:tc>
        <w:tc>
          <w:tcPr>
            <w:tcW w:w="1183" w:type="dxa"/>
            <w:vAlign w:val="center"/>
          </w:tcPr>
          <w:p w14:paraId="1560B96E">
            <w:pPr>
              <w:pStyle w:val="23"/>
              <w:rPr>
                <w:rFonts w:hint="default"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14</w:t>
            </w:r>
          </w:p>
        </w:tc>
        <w:tc>
          <w:tcPr>
            <w:tcW w:w="1356" w:type="dxa"/>
            <w:vAlign w:val="center"/>
          </w:tcPr>
          <w:p w14:paraId="199566B7">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0</w:t>
            </w:r>
          </w:p>
        </w:tc>
        <w:tc>
          <w:tcPr>
            <w:tcW w:w="1318" w:type="dxa"/>
            <w:vAlign w:val="center"/>
          </w:tcPr>
          <w:p w14:paraId="389D8206">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0</w:t>
            </w:r>
          </w:p>
        </w:tc>
        <w:tc>
          <w:tcPr>
            <w:tcW w:w="1318" w:type="dxa"/>
            <w:vAlign w:val="center"/>
          </w:tcPr>
          <w:p w14:paraId="42D65DBE">
            <w:pPr>
              <w:pStyle w:val="23"/>
              <w:rPr>
                <w:rFonts w:hint="default"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t>0.08</w:t>
            </w:r>
          </w:p>
        </w:tc>
        <w:tc>
          <w:tcPr>
            <w:tcW w:w="1680" w:type="dxa"/>
            <w:vAlign w:val="center"/>
          </w:tcPr>
          <w:p w14:paraId="1511C4BD">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0.00</w:t>
            </w:r>
          </w:p>
        </w:tc>
        <w:tc>
          <w:tcPr>
            <w:tcW w:w="1330" w:type="dxa"/>
            <w:vAlign w:val="center"/>
          </w:tcPr>
          <w:p w14:paraId="63EE5994">
            <w:pPr>
              <w:pStyle w:val="23"/>
              <w:rPr>
                <w:rFonts w:hint="default"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14</w:t>
            </w:r>
          </w:p>
        </w:tc>
        <w:tc>
          <w:tcPr>
            <w:tcW w:w="1772" w:type="dxa"/>
            <w:vAlign w:val="center"/>
          </w:tcPr>
          <w:p w14:paraId="3E229A05">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0</w:t>
            </w:r>
          </w:p>
        </w:tc>
      </w:tr>
      <w:tr w14:paraId="6AFBC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56" w:type="dxa"/>
            <w:gridSpan w:val="10"/>
            <w:tcBorders>
              <w:top w:val="single" w:color="auto" w:sz="12" w:space="0"/>
              <w:bottom w:val="single" w:color="auto" w:sz="12" w:space="0"/>
            </w:tcBorders>
            <w:vAlign w:val="center"/>
          </w:tcPr>
          <w:p w14:paraId="707C19F8">
            <w:pPr>
              <w:keepNext w:val="0"/>
              <w:keepLines w:val="0"/>
              <w:widowControl/>
              <w:suppressLineNumbers w:val="0"/>
              <w:jc w:val="left"/>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color w:val="000000"/>
                <w:kern w:val="0"/>
                <w:sz w:val="21"/>
                <w:szCs w:val="21"/>
                <w:lang w:val="en-US" w:eastAsia="zh-CN" w:bidi="ar"/>
              </w:rPr>
              <w:t>a 截止 XX 月 XX 日的受控密封点数。</w:t>
            </w:r>
          </w:p>
          <w:p w14:paraId="4DDF9BC9">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b为某装置 1 年各次检测密封点总和。 </w:t>
            </w:r>
          </w:p>
          <w:p w14:paraId="69A72CF5">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c 为某装置 1 年各次检测发现泄漏点总和，未修复或归为延迟修复的泄漏点，应重复计算。 </w:t>
            </w:r>
          </w:p>
          <w:p w14:paraId="7F8B695C">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d 为某装置 1 年各次检测发现泄漏检测值达到或超过 10000 μmol/mol 的泄漏点总和，未修复或归为延迟修复的泄漏检测值达到或超过 10000 μmol/mol 的泄漏点，应重复计算。 </w:t>
            </w:r>
          </w:p>
          <w:p w14:paraId="2F0F868C">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e 指泄漏点修复后，在本年度再次复发为泄漏检测值达到或超过 10000 μmol/mol 的泄漏点。 </w:t>
            </w:r>
          </w:p>
          <w:p w14:paraId="45087ADA">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f 为泄漏点次占检测密封点次的百分比。 </w:t>
            </w:r>
          </w:p>
          <w:p w14:paraId="1BE0083E">
            <w:pPr>
              <w:pStyle w:val="23"/>
              <w:jc w:val="left"/>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
              </w:rPr>
              <w:t>g 为泄漏检测值达到或超过 10000 μmol/mol 的泄漏点次占检测密封点次的百分比。</w:t>
            </w:r>
          </w:p>
        </w:tc>
      </w:tr>
    </w:tbl>
    <w:p w14:paraId="74190F12">
      <w:pPr>
        <w:pStyle w:val="4"/>
        <w:numPr>
          <w:ilvl w:val="1"/>
          <w:numId w:val="0"/>
        </w:numPr>
        <w:bidi w:val="0"/>
        <w:ind w:leftChars="0"/>
        <w:jc w:val="center"/>
        <w:rPr>
          <w:rFonts w:hint="eastAsia" w:asciiTheme="majorEastAsia" w:hAnsiTheme="majorEastAsia" w:eastAsiaTheme="majorEastAsia" w:cstheme="majorEastAsia"/>
          <w:sz w:val="21"/>
          <w:szCs w:val="21"/>
          <w:lang w:val="en-US" w:eastAsia="zh-CN"/>
        </w:rPr>
      </w:pPr>
    </w:p>
    <w:p w14:paraId="4FBD6D65">
      <w:pPr>
        <w:pStyle w:val="4"/>
        <w:numPr>
          <w:ilvl w:val="1"/>
          <w:numId w:val="0"/>
        </w:numPr>
        <w:bidi w:val="0"/>
        <w:ind w:leftChars="0"/>
        <w:jc w:val="center"/>
        <w:rPr>
          <w:rFonts w:hint="eastAsia" w:asciiTheme="majorEastAsia" w:hAnsiTheme="majorEastAsia" w:eastAsiaTheme="majorEastAsia" w:cstheme="majorEastAsia"/>
          <w:sz w:val="21"/>
          <w:szCs w:val="21"/>
          <w:lang w:val="en-US" w:eastAsia="zh-CN"/>
        </w:rPr>
      </w:pPr>
      <w:bookmarkStart w:id="111" w:name="_Toc13274"/>
      <w:r>
        <w:rPr>
          <w:rFonts w:hint="eastAsia" w:asciiTheme="majorEastAsia" w:hAnsiTheme="majorEastAsia" w:eastAsiaTheme="majorEastAsia" w:cstheme="majorEastAsia"/>
          <w:sz w:val="21"/>
          <w:szCs w:val="21"/>
          <w:lang w:val="en-US" w:eastAsia="zh-CN"/>
        </w:rPr>
        <w:t>表6.6  山东万达化工有限公司2024年第三季度泄漏点复检表</w:t>
      </w:r>
      <w:bookmarkEnd w:id="111"/>
    </w:p>
    <w:tbl>
      <w:tblPr>
        <w:tblStyle w:val="14"/>
        <w:tblpPr w:leftFromText="180" w:rightFromText="180" w:vertAnchor="text" w:horzAnchor="page" w:tblpXSpec="center" w:tblpY="62"/>
        <w:tblOverlap w:val="never"/>
        <w:tblW w:w="502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664"/>
        <w:gridCol w:w="2188"/>
        <w:gridCol w:w="2162"/>
        <w:gridCol w:w="838"/>
        <w:gridCol w:w="1518"/>
        <w:gridCol w:w="1960"/>
        <w:gridCol w:w="1350"/>
        <w:gridCol w:w="1408"/>
        <w:gridCol w:w="1454"/>
        <w:gridCol w:w="1321"/>
      </w:tblGrid>
      <w:tr w14:paraId="2444E6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464" w:hRule="atLeast"/>
          <w:tblHeader/>
          <w:jc w:val="center"/>
        </w:trPr>
        <w:tc>
          <w:tcPr>
            <w:tcW w:w="223" w:type="pct"/>
            <w:tcBorders>
              <w:tl2br w:val="nil"/>
              <w:tr2bl w:val="nil"/>
            </w:tcBorders>
            <w:shd w:val="clear" w:color="auto" w:fill="auto"/>
            <w:vAlign w:val="center"/>
          </w:tcPr>
          <w:p w14:paraId="1F310748">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序号</w:t>
            </w:r>
          </w:p>
        </w:tc>
        <w:tc>
          <w:tcPr>
            <w:tcW w:w="736" w:type="pct"/>
            <w:tcBorders>
              <w:tl2br w:val="nil"/>
              <w:tr2bl w:val="nil"/>
            </w:tcBorders>
            <w:shd w:val="clear" w:color="auto" w:fill="auto"/>
            <w:vAlign w:val="center"/>
          </w:tcPr>
          <w:p w14:paraId="4B3CFBFC">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装置名称</w:t>
            </w:r>
          </w:p>
        </w:tc>
        <w:tc>
          <w:tcPr>
            <w:tcW w:w="727" w:type="pct"/>
            <w:tcBorders>
              <w:tl2br w:val="nil"/>
              <w:tr2bl w:val="nil"/>
            </w:tcBorders>
            <w:shd w:val="clear" w:color="auto" w:fill="auto"/>
            <w:vAlign w:val="center"/>
          </w:tcPr>
          <w:p w14:paraId="48552B7C">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群组编码</w:t>
            </w:r>
          </w:p>
        </w:tc>
        <w:tc>
          <w:tcPr>
            <w:tcW w:w="281" w:type="pct"/>
            <w:tcBorders>
              <w:tl2br w:val="nil"/>
              <w:tr2bl w:val="nil"/>
            </w:tcBorders>
            <w:shd w:val="clear" w:color="auto" w:fill="auto"/>
            <w:vAlign w:val="center"/>
          </w:tcPr>
          <w:p w14:paraId="33466CDF">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扩展编码</w:t>
            </w:r>
          </w:p>
        </w:tc>
        <w:tc>
          <w:tcPr>
            <w:tcW w:w="510" w:type="pct"/>
            <w:tcBorders>
              <w:tl2br w:val="nil"/>
              <w:tr2bl w:val="nil"/>
            </w:tcBorders>
            <w:shd w:val="clear" w:color="auto" w:fill="auto"/>
            <w:vAlign w:val="center"/>
          </w:tcPr>
          <w:p w14:paraId="21A0433A">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定位设备</w:t>
            </w:r>
          </w:p>
        </w:tc>
        <w:tc>
          <w:tcPr>
            <w:tcW w:w="659" w:type="pct"/>
            <w:tcBorders>
              <w:tl2br w:val="nil"/>
              <w:tr2bl w:val="nil"/>
            </w:tcBorders>
            <w:shd w:val="clear" w:color="auto" w:fill="auto"/>
            <w:vAlign w:val="center"/>
          </w:tcPr>
          <w:p w14:paraId="2EFBBFF8">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组件描述</w:t>
            </w:r>
          </w:p>
        </w:tc>
        <w:tc>
          <w:tcPr>
            <w:tcW w:w="454" w:type="pct"/>
            <w:tcBorders>
              <w:tl2br w:val="nil"/>
              <w:tr2bl w:val="nil"/>
            </w:tcBorders>
            <w:shd w:val="clear" w:color="auto" w:fill="auto"/>
            <w:vAlign w:val="center"/>
          </w:tcPr>
          <w:p w14:paraId="6F6453C5">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密封点</w:t>
            </w: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类型</w:t>
            </w:r>
          </w:p>
        </w:tc>
        <w:tc>
          <w:tcPr>
            <w:tcW w:w="473" w:type="pct"/>
            <w:tcBorders>
              <w:tl2br w:val="nil"/>
              <w:tr2bl w:val="nil"/>
            </w:tcBorders>
            <w:shd w:val="clear" w:color="auto" w:fill="auto"/>
            <w:vAlign w:val="center"/>
          </w:tcPr>
          <w:p w14:paraId="7EC9A3C0">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复检</w:t>
            </w: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前</w:t>
            </w: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结果（µmol/mol）</w:t>
            </w:r>
          </w:p>
        </w:tc>
        <w:tc>
          <w:tcPr>
            <w:tcW w:w="489" w:type="pct"/>
            <w:tcBorders>
              <w:tl2br w:val="nil"/>
              <w:tr2bl w:val="nil"/>
            </w:tcBorders>
            <w:shd w:val="clear" w:color="auto" w:fill="auto"/>
            <w:vAlign w:val="center"/>
          </w:tcPr>
          <w:p w14:paraId="2AB11E9B">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复检结果（µmol/mol）</w:t>
            </w:r>
          </w:p>
        </w:tc>
        <w:tc>
          <w:tcPr>
            <w:tcW w:w="444" w:type="pct"/>
            <w:tcBorders>
              <w:tl2br w:val="nil"/>
              <w:tr2bl w:val="nil"/>
            </w:tcBorders>
            <w:shd w:val="clear" w:color="auto" w:fill="auto"/>
            <w:vAlign w:val="center"/>
          </w:tcPr>
          <w:p w14:paraId="1D61681B">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复检日期</w:t>
            </w:r>
          </w:p>
        </w:tc>
      </w:tr>
      <w:tr w14:paraId="0B5F4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518" w:hRule="atLeast"/>
          <w:tblHeader/>
          <w:jc w:val="center"/>
        </w:trPr>
        <w:tc>
          <w:tcPr>
            <w:tcW w:w="223" w:type="pct"/>
            <w:tcBorders>
              <w:tl2br w:val="nil"/>
              <w:tr2bl w:val="nil"/>
            </w:tcBorders>
            <w:shd w:val="clear" w:color="auto" w:fill="auto"/>
            <w:vAlign w:val="center"/>
          </w:tcPr>
          <w:p w14:paraId="068788A9">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1</w:t>
            </w:r>
          </w:p>
        </w:tc>
        <w:tc>
          <w:tcPr>
            <w:tcW w:w="736" w:type="pct"/>
            <w:tcBorders>
              <w:tl2br w:val="nil"/>
              <w:tr2bl w:val="nil"/>
            </w:tcBorders>
            <w:shd w:val="clear" w:color="auto" w:fill="auto"/>
            <w:vAlign w:val="center"/>
          </w:tcPr>
          <w:p w14:paraId="7A6369A0">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新材料一</w:t>
            </w:r>
          </w:p>
        </w:tc>
        <w:tc>
          <w:tcPr>
            <w:tcW w:w="727" w:type="pct"/>
            <w:tcBorders>
              <w:tl2br w:val="nil"/>
              <w:tr2bl w:val="nil"/>
            </w:tcBorders>
            <w:shd w:val="clear" w:color="auto" w:fill="auto"/>
            <w:vAlign w:val="center"/>
          </w:tcPr>
          <w:p w14:paraId="2C64AECA">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XXCLY0-02-03-0075</w:t>
            </w:r>
          </w:p>
        </w:tc>
        <w:tc>
          <w:tcPr>
            <w:tcW w:w="281" w:type="pct"/>
            <w:tcBorders>
              <w:tl2br w:val="nil"/>
              <w:tr2bl w:val="nil"/>
            </w:tcBorders>
            <w:shd w:val="clear" w:color="auto" w:fill="auto"/>
            <w:vAlign w:val="center"/>
          </w:tcPr>
          <w:p w14:paraId="4B2BD23F">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002V</w:t>
            </w:r>
          </w:p>
        </w:tc>
        <w:tc>
          <w:tcPr>
            <w:tcW w:w="510" w:type="pct"/>
            <w:tcBorders>
              <w:tl2br w:val="nil"/>
              <w:tr2bl w:val="nil"/>
            </w:tcBorders>
            <w:shd w:val="clear" w:color="auto" w:fill="auto"/>
            <w:vAlign w:val="center"/>
          </w:tcPr>
          <w:p w14:paraId="77186383">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混料釜6</w:t>
            </w:r>
          </w:p>
        </w:tc>
        <w:tc>
          <w:tcPr>
            <w:tcW w:w="659" w:type="pct"/>
            <w:tcBorders>
              <w:tl2br w:val="nil"/>
              <w:tr2bl w:val="nil"/>
            </w:tcBorders>
            <w:shd w:val="clear" w:color="auto" w:fill="auto"/>
            <w:vAlign w:val="center"/>
          </w:tcPr>
          <w:p w14:paraId="4A30A643">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混料釜6进料阀门</w:t>
            </w:r>
          </w:p>
        </w:tc>
        <w:tc>
          <w:tcPr>
            <w:tcW w:w="454" w:type="pct"/>
            <w:tcBorders>
              <w:tl2br w:val="nil"/>
              <w:tr2bl w:val="nil"/>
            </w:tcBorders>
            <w:shd w:val="clear" w:color="auto" w:fill="FFFFFF" w:themeFill="background1"/>
            <w:vAlign w:val="center"/>
          </w:tcPr>
          <w:p w14:paraId="52F7F0A0">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bidi="ar-SA"/>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阀门</w:t>
            </w:r>
          </w:p>
        </w:tc>
        <w:tc>
          <w:tcPr>
            <w:tcW w:w="473" w:type="pct"/>
            <w:tcBorders>
              <w:tl2br w:val="nil"/>
              <w:tr2bl w:val="nil"/>
            </w:tcBorders>
            <w:shd w:val="clear" w:color="auto" w:fill="auto"/>
            <w:vAlign w:val="center"/>
          </w:tcPr>
          <w:p w14:paraId="6BFFE402">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3365.2</w:t>
            </w:r>
          </w:p>
        </w:tc>
        <w:tc>
          <w:tcPr>
            <w:tcW w:w="489" w:type="pct"/>
            <w:tcBorders>
              <w:tl2br w:val="nil"/>
              <w:tr2bl w:val="nil"/>
            </w:tcBorders>
            <w:shd w:val="clear" w:color="auto" w:fill="auto"/>
            <w:vAlign w:val="center"/>
          </w:tcPr>
          <w:p w14:paraId="58327FF2">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 xml:space="preserve">89.7 </w:t>
            </w:r>
          </w:p>
        </w:tc>
        <w:tc>
          <w:tcPr>
            <w:tcW w:w="1321" w:type="dxa"/>
            <w:tcBorders>
              <w:tl2br w:val="nil"/>
              <w:tr2bl w:val="nil"/>
            </w:tcBorders>
            <w:shd w:val="clear" w:color="auto" w:fill="auto"/>
            <w:vAlign w:val="bottom"/>
          </w:tcPr>
          <w:p w14:paraId="0462E32D">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2024-09-21 11:25:16</w:t>
            </w:r>
          </w:p>
        </w:tc>
      </w:tr>
      <w:tr w14:paraId="1E4D6B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518" w:hRule="atLeast"/>
          <w:tblHeader/>
          <w:jc w:val="center"/>
        </w:trPr>
        <w:tc>
          <w:tcPr>
            <w:tcW w:w="223" w:type="pct"/>
            <w:tcBorders>
              <w:tl2br w:val="nil"/>
              <w:tr2bl w:val="nil"/>
            </w:tcBorders>
            <w:shd w:val="clear" w:color="auto" w:fill="auto"/>
            <w:vAlign w:val="center"/>
          </w:tcPr>
          <w:p w14:paraId="34F869D3">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w:t>
            </w:r>
          </w:p>
        </w:tc>
        <w:tc>
          <w:tcPr>
            <w:tcW w:w="736" w:type="pct"/>
            <w:tcBorders>
              <w:tl2br w:val="nil"/>
              <w:tr2bl w:val="nil"/>
            </w:tcBorders>
            <w:shd w:val="clear" w:color="auto" w:fill="auto"/>
            <w:vAlign w:val="center"/>
          </w:tcPr>
          <w:p w14:paraId="773808BA">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ODA二装置</w:t>
            </w:r>
          </w:p>
        </w:tc>
        <w:tc>
          <w:tcPr>
            <w:tcW w:w="727" w:type="pct"/>
            <w:tcBorders>
              <w:tl2br w:val="nil"/>
              <w:tr2bl w:val="nil"/>
            </w:tcBorders>
            <w:shd w:val="clear" w:color="auto" w:fill="auto"/>
            <w:vAlign w:val="center"/>
          </w:tcPr>
          <w:p w14:paraId="08B7A904">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XODAE0-01-03-0079</w:t>
            </w:r>
          </w:p>
        </w:tc>
        <w:tc>
          <w:tcPr>
            <w:tcW w:w="281" w:type="pct"/>
            <w:tcBorders>
              <w:tl2br w:val="nil"/>
              <w:tr2bl w:val="nil"/>
            </w:tcBorders>
            <w:shd w:val="clear" w:color="auto" w:fill="auto"/>
            <w:vAlign w:val="center"/>
          </w:tcPr>
          <w:p w14:paraId="41D4BBC0">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008O</w:t>
            </w:r>
          </w:p>
        </w:tc>
        <w:tc>
          <w:tcPr>
            <w:tcW w:w="510" w:type="pct"/>
            <w:tcBorders>
              <w:tl2br w:val="nil"/>
              <w:tr2bl w:val="nil"/>
            </w:tcBorders>
            <w:shd w:val="clear" w:color="auto" w:fill="auto"/>
            <w:vAlign w:val="center"/>
          </w:tcPr>
          <w:p w14:paraId="3BC908D3">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冷凝器2</w:t>
            </w:r>
          </w:p>
        </w:tc>
        <w:tc>
          <w:tcPr>
            <w:tcW w:w="659" w:type="pct"/>
            <w:tcBorders>
              <w:tl2br w:val="nil"/>
              <w:tr2bl w:val="nil"/>
            </w:tcBorders>
            <w:shd w:val="clear" w:color="auto" w:fill="auto"/>
            <w:vAlign w:val="center"/>
          </w:tcPr>
          <w:p w14:paraId="0C85561D">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冷凝器2进料线开口阀或开口管线</w:t>
            </w:r>
          </w:p>
        </w:tc>
        <w:tc>
          <w:tcPr>
            <w:tcW w:w="454" w:type="pct"/>
            <w:tcBorders>
              <w:tl2br w:val="nil"/>
              <w:tr2bl w:val="nil"/>
            </w:tcBorders>
            <w:shd w:val="clear" w:color="auto" w:fill="FFFFFF" w:themeFill="background1"/>
            <w:vAlign w:val="center"/>
          </w:tcPr>
          <w:p w14:paraId="372839B1">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bidi="ar-SA"/>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开口阀或开口管线</w:t>
            </w:r>
          </w:p>
        </w:tc>
        <w:tc>
          <w:tcPr>
            <w:tcW w:w="473" w:type="pct"/>
            <w:tcBorders>
              <w:tl2br w:val="nil"/>
              <w:tr2bl w:val="nil"/>
            </w:tcBorders>
            <w:shd w:val="clear" w:color="auto" w:fill="auto"/>
            <w:vAlign w:val="center"/>
          </w:tcPr>
          <w:p w14:paraId="4D957908">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2056.6</w:t>
            </w:r>
          </w:p>
        </w:tc>
        <w:tc>
          <w:tcPr>
            <w:tcW w:w="489" w:type="pct"/>
            <w:tcBorders>
              <w:tl2br w:val="nil"/>
              <w:tr2bl w:val="nil"/>
            </w:tcBorders>
            <w:shd w:val="clear" w:color="auto" w:fill="auto"/>
            <w:vAlign w:val="center"/>
          </w:tcPr>
          <w:p w14:paraId="142B74B3">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23.5</w:t>
            </w:r>
          </w:p>
        </w:tc>
        <w:tc>
          <w:tcPr>
            <w:tcW w:w="1321" w:type="dxa"/>
            <w:tcBorders>
              <w:tl2br w:val="nil"/>
              <w:tr2bl w:val="nil"/>
            </w:tcBorders>
            <w:shd w:val="clear" w:color="auto" w:fill="auto"/>
            <w:vAlign w:val="bottom"/>
          </w:tcPr>
          <w:p w14:paraId="4560188E">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2024-09-20 11:43:25</w:t>
            </w:r>
          </w:p>
        </w:tc>
      </w:tr>
      <w:tr w14:paraId="39AAEC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518" w:hRule="atLeast"/>
          <w:tblHeader/>
          <w:jc w:val="center"/>
        </w:trPr>
        <w:tc>
          <w:tcPr>
            <w:tcW w:w="223" w:type="pct"/>
            <w:tcBorders>
              <w:tl2br w:val="nil"/>
              <w:tr2bl w:val="nil"/>
            </w:tcBorders>
            <w:shd w:val="clear" w:color="auto" w:fill="auto"/>
            <w:vAlign w:val="center"/>
          </w:tcPr>
          <w:p w14:paraId="43581A09">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3</w:t>
            </w:r>
          </w:p>
        </w:tc>
        <w:tc>
          <w:tcPr>
            <w:tcW w:w="736" w:type="pct"/>
            <w:tcBorders>
              <w:tl2br w:val="nil"/>
              <w:tr2bl w:val="nil"/>
            </w:tcBorders>
            <w:shd w:val="clear" w:color="auto" w:fill="auto"/>
            <w:vAlign w:val="center"/>
          </w:tcPr>
          <w:p w14:paraId="3AFFD5FD">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储运装置</w:t>
            </w:r>
          </w:p>
        </w:tc>
        <w:tc>
          <w:tcPr>
            <w:tcW w:w="727" w:type="pct"/>
            <w:tcBorders>
              <w:tl2br w:val="nil"/>
              <w:tr2bl w:val="nil"/>
            </w:tcBorders>
            <w:shd w:val="clear" w:color="auto" w:fill="auto"/>
            <w:vAlign w:val="center"/>
          </w:tcPr>
          <w:p w14:paraId="5D4518AC">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XXXZG0-03-01-0038</w:t>
            </w:r>
          </w:p>
        </w:tc>
        <w:tc>
          <w:tcPr>
            <w:tcW w:w="281" w:type="pct"/>
            <w:tcBorders>
              <w:tl2br w:val="nil"/>
              <w:tr2bl w:val="nil"/>
            </w:tcBorders>
            <w:shd w:val="clear" w:color="auto" w:fill="auto"/>
            <w:vAlign w:val="center"/>
          </w:tcPr>
          <w:p w14:paraId="1D37A637">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001F</w:t>
            </w:r>
          </w:p>
        </w:tc>
        <w:tc>
          <w:tcPr>
            <w:tcW w:w="510" w:type="pct"/>
            <w:tcBorders>
              <w:tl2br w:val="nil"/>
              <w:tr2bl w:val="nil"/>
            </w:tcBorders>
            <w:shd w:val="clear" w:color="auto" w:fill="auto"/>
            <w:vAlign w:val="center"/>
          </w:tcPr>
          <w:p w14:paraId="616F3F81">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丁二烯卸车</w:t>
            </w:r>
          </w:p>
        </w:tc>
        <w:tc>
          <w:tcPr>
            <w:tcW w:w="659" w:type="pct"/>
            <w:tcBorders>
              <w:tl2br w:val="nil"/>
              <w:tr2bl w:val="nil"/>
            </w:tcBorders>
            <w:shd w:val="clear" w:color="auto" w:fill="auto"/>
            <w:vAlign w:val="center"/>
          </w:tcPr>
          <w:p w14:paraId="448DE5CB">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丁二烯卸车线开口阀或开口管线</w:t>
            </w:r>
          </w:p>
        </w:tc>
        <w:tc>
          <w:tcPr>
            <w:tcW w:w="454" w:type="pct"/>
            <w:tcBorders>
              <w:tl2br w:val="nil"/>
              <w:tr2bl w:val="nil"/>
            </w:tcBorders>
            <w:shd w:val="clear" w:color="auto" w:fill="auto"/>
            <w:vAlign w:val="center"/>
          </w:tcPr>
          <w:p w14:paraId="17CA86F3">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开口阀或开口管线</w:t>
            </w:r>
          </w:p>
        </w:tc>
        <w:tc>
          <w:tcPr>
            <w:tcW w:w="1408" w:type="dxa"/>
            <w:tcBorders>
              <w:tl2br w:val="nil"/>
              <w:tr2bl w:val="nil"/>
            </w:tcBorders>
            <w:shd w:val="clear" w:color="auto" w:fill="auto"/>
            <w:vAlign w:val="center"/>
          </w:tcPr>
          <w:p w14:paraId="120E34A0">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4361.5</w:t>
            </w:r>
          </w:p>
        </w:tc>
        <w:tc>
          <w:tcPr>
            <w:tcW w:w="1454" w:type="dxa"/>
            <w:tcBorders>
              <w:tl2br w:val="nil"/>
              <w:tr2bl w:val="nil"/>
            </w:tcBorders>
            <w:shd w:val="clear" w:color="auto" w:fill="auto"/>
            <w:vAlign w:val="center"/>
          </w:tcPr>
          <w:p w14:paraId="618BEE29">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162.8</w:t>
            </w:r>
          </w:p>
        </w:tc>
        <w:tc>
          <w:tcPr>
            <w:tcW w:w="1321" w:type="dxa"/>
            <w:tcBorders>
              <w:tl2br w:val="nil"/>
              <w:tr2bl w:val="nil"/>
            </w:tcBorders>
            <w:shd w:val="clear" w:color="auto" w:fill="auto"/>
            <w:vAlign w:val="bottom"/>
          </w:tcPr>
          <w:p w14:paraId="4198A90B">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2024-09-21 11:33:24</w:t>
            </w:r>
          </w:p>
        </w:tc>
      </w:tr>
    </w:tbl>
    <w:p w14:paraId="69B0B71B">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eastAsia="zh-CN"/>
        </w:rPr>
        <w:tab/>
      </w:r>
      <w:r>
        <w:rPr>
          <w:rFonts w:hint="eastAsia" w:asciiTheme="majorEastAsia" w:hAnsiTheme="majorEastAsia" w:eastAsiaTheme="majorEastAsia" w:cstheme="majorEastAsia"/>
          <w:lang w:val="en-US" w:eastAsia="zh-CN"/>
        </w:rPr>
        <w:t xml:space="preserve">                    </w:t>
      </w:r>
    </w:p>
    <w:p w14:paraId="6903DDC3">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lang w:val="en-US" w:eastAsia="zh-CN"/>
        </w:rPr>
      </w:pPr>
    </w:p>
    <w:p w14:paraId="3C8C02B2">
      <w:pPr>
        <w:pStyle w:val="6"/>
        <w:rPr>
          <w:rFonts w:hint="eastAsia" w:asciiTheme="majorEastAsia" w:hAnsiTheme="majorEastAsia" w:eastAsiaTheme="majorEastAsia" w:cstheme="majorEastAsia"/>
          <w:lang w:val="en-US" w:eastAsia="zh-CN"/>
        </w:rPr>
      </w:pPr>
    </w:p>
    <w:p w14:paraId="7B534D60">
      <w:pPr>
        <w:pStyle w:val="6"/>
        <w:rPr>
          <w:rFonts w:hint="eastAsia" w:asciiTheme="majorEastAsia" w:hAnsiTheme="majorEastAsia" w:eastAsiaTheme="majorEastAsia" w:cstheme="majorEastAsia"/>
          <w:lang w:val="en-US" w:eastAsia="zh-CN"/>
        </w:rPr>
      </w:pPr>
    </w:p>
    <w:p w14:paraId="01ED01E4">
      <w:pPr>
        <w:pStyle w:val="6"/>
        <w:rPr>
          <w:rFonts w:hint="eastAsia" w:asciiTheme="majorEastAsia" w:hAnsiTheme="majorEastAsia" w:eastAsiaTheme="majorEastAsia" w:cstheme="majorEastAsia"/>
          <w:lang w:val="en-US" w:eastAsia="zh-CN"/>
        </w:rPr>
      </w:pPr>
    </w:p>
    <w:p w14:paraId="6DFD89C0">
      <w:pPr>
        <w:pStyle w:val="6"/>
        <w:rPr>
          <w:rFonts w:hint="eastAsia" w:asciiTheme="majorEastAsia" w:hAnsiTheme="majorEastAsia" w:eastAsiaTheme="majorEastAsia" w:cstheme="majorEastAsia"/>
          <w:lang w:val="en-US" w:eastAsia="zh-CN"/>
        </w:rPr>
      </w:pPr>
    </w:p>
    <w:p w14:paraId="047D2C26">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 xml:space="preserve">  ****************************</w:t>
      </w:r>
      <w:r>
        <w:rPr>
          <w:rFonts w:hint="eastAsia" w:asciiTheme="majorEastAsia" w:hAnsiTheme="majorEastAsia" w:eastAsiaTheme="majorEastAsia" w:cstheme="majorEastAsia"/>
          <w:b/>
          <w:bCs/>
          <w:lang w:val="en-US" w:eastAsia="zh-CN"/>
        </w:rPr>
        <w:t>本报告结束</w:t>
      </w:r>
      <w:r>
        <w:rPr>
          <w:rFonts w:hint="eastAsia" w:asciiTheme="majorEastAsia" w:hAnsiTheme="majorEastAsia" w:eastAsiaTheme="majorEastAsia" w:cstheme="majorEastAsia"/>
          <w:lang w:val="en-US" w:eastAsia="zh-CN"/>
        </w:rPr>
        <w:t>****************************</w:t>
      </w:r>
    </w:p>
    <w:p w14:paraId="76EDA4E7">
      <w:pPr>
        <w:pStyle w:val="23"/>
        <w:jc w:val="both"/>
        <w:outlineLvl w:val="9"/>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color w:val="000000"/>
          <w:kern w:val="2"/>
          <w:sz w:val="21"/>
          <w:szCs w:val="22"/>
          <w:lang w:val="en-US" w:eastAsia="zh-CN" w:bidi="ar-SA"/>
        </w:rPr>
        <w:t xml:space="preserve">                            </w:t>
      </w:r>
    </w:p>
    <w:sectPr>
      <w:pgSz w:w="16838" w:h="11906" w:orient="landscape"/>
      <w:pgMar w:top="1134"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BE862">
    <w:pPr>
      <w:pStyle w:val="8"/>
      <w:rPr>
        <w:rFonts w:hint="default" w:ascii="宋体" w:hAnsi="宋体" w:eastAsia="宋体" w:cs="宋体"/>
        <w:lang w:val="en-US" w:eastAsia="zh-CN"/>
      </w:rPr>
    </w:pPr>
    <w:r>
      <w:rPr>
        <w:rFonts w:hint="eastAsia" w:ascii="宋体" w:hAnsi="宋体" w:eastAsia="宋体" w:cs="宋体"/>
        <w:u w:val="single"/>
        <w:lang w:eastAsia="zh-CN"/>
      </w:rPr>
      <w:t>地址：</w:t>
    </w:r>
    <w:r>
      <w:rPr>
        <w:rFonts w:hint="eastAsia"/>
        <w:u w:val="single"/>
        <w:lang w:val="en-US" w:eastAsia="zh-CN"/>
      </w:rPr>
      <w:t xml:space="preserve">山东省东营市开发区东六路25号1幢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2CF88">
    <w:pPr>
      <w:pStyle w:val="8"/>
    </w:pPr>
  </w:p>
  <w:p w14:paraId="08CC74BB">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6A4A1">
    <w:pPr>
      <w:pStyle w:val="8"/>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7FABBF">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37FABBF">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672E826E">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08E02">
    <w:pPr>
      <w:pStyle w:val="8"/>
      <w:ind w:firstLine="180" w:firstLineChars="100"/>
      <w:rPr>
        <w:rFonts w:hint="default" w:ascii="宋体" w:hAnsi="宋体" w:eastAsia="宋体" w:cs="宋体"/>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0F3053">
                          <w:pPr>
                            <w:pStyle w:val="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26</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0F3053">
                    <w:pPr>
                      <w:pStyle w:val="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26</w:t>
                    </w:r>
                    <w:r>
                      <w:t xml:space="preserve"> 页</w:t>
                    </w:r>
                  </w:p>
                </w:txbxContent>
              </v:textbox>
            </v:shape>
          </w:pict>
        </mc:Fallback>
      </mc:AlternateContent>
    </w:r>
    <w:r>
      <w:rPr>
        <w:rFonts w:hint="eastAsia" w:ascii="宋体" w:hAnsi="宋体" w:eastAsia="宋体" w:cs="宋体"/>
        <w:u w:val="single"/>
        <w:lang w:eastAsia="zh-CN"/>
      </w:rPr>
      <w:t>地址：</w:t>
    </w:r>
    <w:r>
      <w:rPr>
        <w:rFonts w:hint="eastAsia"/>
        <w:u w:val="single"/>
        <w:lang w:val="en-US" w:eastAsia="zh-CN"/>
      </w:rPr>
      <w:t>山东省东营市开发区东六路25号1幢</w:t>
    </w:r>
    <w:r>
      <w:rPr>
        <w:rFonts w:hint="eastAsia" w:ascii="宋体" w:hAnsi="宋体" w:cs="宋体"/>
        <w:u w:val="single"/>
        <w:lang w:eastAsia="zh-CN"/>
      </w:rPr>
      <w:t>　</w:t>
    </w:r>
    <w:r>
      <w:rPr>
        <w:rFonts w:hint="eastAsia" w:ascii="宋体" w:hAnsi="宋体" w:cs="宋体"/>
        <w:u w:val="single"/>
        <w:lang w:val="en-US" w:eastAsia="zh-CN"/>
      </w:rPr>
      <w:t xml:space="preserve">  　　　　　　　　　　　　　　　　　　　　　                 　 </w:t>
    </w:r>
    <w:r>
      <w:rPr>
        <w:rFonts w:hint="eastAsia" w:ascii="宋体" w:hAnsi="宋体" w:cs="宋体"/>
        <w:lang w:val="en-US"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1C751">
    <w:pPr>
      <w:pStyle w:val="8"/>
      <w:ind w:firstLine="180" w:firstLineChars="100"/>
      <w:rPr>
        <w:rFonts w:hint="default" w:ascii="宋体" w:hAnsi="宋体" w:eastAsia="宋体" w:cs="宋体"/>
        <w:lang w:val="en-US" w:eastAsia="zh-CN"/>
      </w:rPr>
    </w:pPr>
    <w:r>
      <w:rPr>
        <w:sz w:val="18"/>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32B722">
                          <w:pPr>
                            <w:pStyle w:val="8"/>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lang w:val="en-US" w:eastAsia="zh-CN"/>
                            </w:rPr>
                            <w:t>26</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432B722">
                    <w:pPr>
                      <w:pStyle w:val="8"/>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lang w:val="en-US" w:eastAsia="zh-CN"/>
                      </w:rPr>
                      <w:t>26</w:t>
                    </w:r>
                    <w:r>
                      <w:t xml:space="preserve"> 页</w:t>
                    </w:r>
                  </w:p>
                </w:txbxContent>
              </v:textbox>
            </v:shape>
          </w:pict>
        </mc:Fallback>
      </mc:AlternateContent>
    </w:r>
    <w:r>
      <w:rPr>
        <w:rFonts w:hint="eastAsia" w:ascii="宋体" w:hAnsi="宋体" w:eastAsia="宋体" w:cs="宋体"/>
        <w:u w:val="single"/>
        <w:lang w:eastAsia="zh-CN"/>
      </w:rPr>
      <w:t>地址：</w:t>
    </w:r>
    <w:r>
      <w:rPr>
        <w:rFonts w:hint="eastAsia"/>
        <w:u w:val="single"/>
        <w:lang w:val="en-US" w:eastAsia="zh-CN"/>
      </w:rPr>
      <w:t>山东省东营市开发区东六路25号1幢</w:t>
    </w:r>
    <w:r>
      <w:rPr>
        <w:rFonts w:hint="eastAsia" w:ascii="宋体" w:hAnsi="宋体" w:cs="宋体"/>
        <w:u w:val="single"/>
        <w:lang w:eastAsia="zh-CN"/>
      </w:rPr>
      <w:t>　</w:t>
    </w:r>
    <w:r>
      <w:rPr>
        <w:rFonts w:hint="eastAsia" w:ascii="宋体" w:hAnsi="宋体" w:cs="宋体"/>
        <w:u w:val="single"/>
        <w:lang w:val="en-US" w:eastAsia="zh-CN"/>
      </w:rPr>
      <w:t xml:space="preserve">               　　　　　　　　　　　　　　　　　　　　　　　　　　　　　　　　　　　　　　　　     　　　　　　　　　 </w:t>
    </w:r>
    <w:r>
      <w:rPr>
        <w:rFonts w:hint="eastAsia" w:ascii="宋体" w:hAnsi="宋体" w:cs="宋体"/>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A531C">
    <w:pPr>
      <w:pStyle w:val="9"/>
      <w:pBdr>
        <w:bottom w:val="single" w:color="auto" w:sz="4" w:space="1"/>
      </w:pBdr>
      <w:bidi w:val="0"/>
      <w:rPr>
        <w:rFonts w:hint="eastAsia" w:asciiTheme="minorEastAsia" w:hAnsiTheme="minorEastAsia" w:eastAsiaTheme="minorEastAsia" w:cstheme="minorEastAsia"/>
        <w:b w:val="0"/>
        <w:bCs w:val="0"/>
        <w:sz w:val="21"/>
        <w:szCs w:val="21"/>
        <w:lang w:val="en-US" w:eastAsia="zh-CN"/>
      </w:rPr>
    </w:pPr>
    <w:r>
      <w:drawing>
        <wp:anchor distT="0" distB="0" distL="114300" distR="114300" simplePos="0" relativeHeight="251661312" behindDoc="0" locked="0" layoutInCell="1" allowOverlap="1">
          <wp:simplePos x="0" y="0"/>
          <wp:positionH relativeFrom="column">
            <wp:posOffset>17780</wp:posOffset>
          </wp:positionH>
          <wp:positionV relativeFrom="paragraph">
            <wp:posOffset>-15875</wp:posOffset>
          </wp:positionV>
          <wp:extent cx="209550" cy="200660"/>
          <wp:effectExtent l="0" t="0" r="0" b="8890"/>
          <wp:wrapSquare wrapText="bothSides"/>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lang w:eastAsia="zh-CN"/>
      </w:rPr>
      <w:t>　　</w:t>
    </w:r>
    <w:r>
      <w:rPr>
        <w:rFonts w:hint="eastAsia" w:asciiTheme="minorEastAsia" w:hAnsiTheme="minorEastAsia" w:eastAsiaTheme="minorEastAsia" w:cstheme="minorEastAsia"/>
        <w:b w:val="0"/>
        <w:bCs w:val="0"/>
        <w:sz w:val="21"/>
        <w:szCs w:val="21"/>
        <w:lang w:val="en-US" w:eastAsia="zh-CN"/>
      </w:rPr>
      <w:t>山东泓启环保技术服务有限公司           　 报告编号：（E检）字（2024）0020号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8CCA4">
    <w:pPr>
      <w:pStyle w:val="9"/>
      <w:pBdr>
        <w:bottom w:val="single" w:color="auto" w:sz="4" w:space="1"/>
      </w:pBdr>
      <w:jc w:val="both"/>
      <w:rPr>
        <w:rFonts w:hint="default"/>
        <w:lang w:val="en-US" w:eastAsia="zh-CN"/>
      </w:rPr>
    </w:pPr>
    <w:r>
      <w:drawing>
        <wp:anchor distT="0" distB="0" distL="114300" distR="114300" simplePos="0" relativeHeight="251660288" behindDoc="0" locked="0" layoutInCell="1" allowOverlap="1">
          <wp:simplePos x="0" y="0"/>
          <wp:positionH relativeFrom="column">
            <wp:posOffset>27940</wp:posOffset>
          </wp:positionH>
          <wp:positionV relativeFrom="paragraph">
            <wp:posOffset>-26035</wp:posOffset>
          </wp:positionV>
          <wp:extent cx="209550" cy="200660"/>
          <wp:effectExtent l="0" t="0" r="0" b="889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等线" w:hAnsi="等线" w:eastAsia="等线" w:cs="等线"/>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山东泓启环保技术服务有限公司</w:t>
    </w:r>
    <w:r>
      <w:rPr>
        <w:rFonts w:hint="eastAsia" w:ascii="等线" w:hAnsi="等线" w:eastAsia="等线" w:cs="等线"/>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报告编号：（E检）字（2024）0020号</w:t>
    </w: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33085">
    <w:pPr>
      <w:pStyle w:val="9"/>
      <w:pBdr>
        <w:bottom w:val="single" w:color="auto" w:sz="4" w:space="1"/>
      </w:pBdr>
      <w:ind w:left="2160" w:hanging="2160" w:hangingChars="1200"/>
      <w:jc w:val="left"/>
      <w:rPr>
        <w:rFonts w:hint="default"/>
        <w:lang w:val="en-US" w:eastAsia="zh-CN"/>
      </w:rPr>
    </w:pPr>
    <w:r>
      <w:drawing>
        <wp:anchor distT="0" distB="0" distL="114300" distR="114300" simplePos="0" relativeHeight="251662336" behindDoc="0" locked="0" layoutInCell="1" allowOverlap="1">
          <wp:simplePos x="0" y="0"/>
          <wp:positionH relativeFrom="column">
            <wp:posOffset>18415</wp:posOffset>
          </wp:positionH>
          <wp:positionV relativeFrom="paragraph">
            <wp:posOffset>-27940</wp:posOffset>
          </wp:positionV>
          <wp:extent cx="209550" cy="200660"/>
          <wp:effectExtent l="0" t="0" r="0" b="8890"/>
          <wp:wrapSquare wrapText="bothSides"/>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等线" w:hAnsi="等线" w:eastAsia="等线" w:cs="等线"/>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 xml:space="preserve">山东泓启环保技术服务有限公司 </w:t>
    </w:r>
    <w:r>
      <w:rPr>
        <w:rFonts w:hint="eastAsia" w:ascii="等线" w:hAnsi="等线" w:eastAsia="等线" w:cs="等线"/>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报告编号：（E检）字（2024）0020号</w:t>
    </w:r>
    <w:r>
      <w:rPr>
        <w:rFonts w:hint="eastAsia"/>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00F37">
    <w:pPr>
      <w:pStyle w:val="9"/>
      <w:pBdr>
        <w:bottom w:val="single" w:color="auto" w:sz="4" w:space="1"/>
      </w:pBdr>
      <w:ind w:left="2160" w:hanging="2160" w:hangingChars="1200"/>
      <w:jc w:val="left"/>
      <w:rPr>
        <w:rFonts w:hint="default"/>
        <w:lang w:val="en-US" w:eastAsia="zh-CN"/>
      </w:rPr>
    </w:pPr>
    <w:r>
      <w:drawing>
        <wp:anchor distT="0" distB="0" distL="114300" distR="114300" simplePos="0" relativeHeight="251668480" behindDoc="0" locked="0" layoutInCell="1" allowOverlap="1">
          <wp:simplePos x="0" y="0"/>
          <wp:positionH relativeFrom="column">
            <wp:posOffset>18415</wp:posOffset>
          </wp:positionH>
          <wp:positionV relativeFrom="paragraph">
            <wp:posOffset>-7620</wp:posOffset>
          </wp:positionV>
          <wp:extent cx="209550" cy="200660"/>
          <wp:effectExtent l="0" t="0" r="0" b="8890"/>
          <wp:wrapSquare wrapText="bothSides"/>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等线" w:hAnsi="等线" w:eastAsia="等线" w:cs="等线"/>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 xml:space="preserve">山东泓启环保技术服务有限公司 </w:t>
    </w:r>
    <w:r>
      <w:rPr>
        <w:rFonts w:hint="eastAsia" w:ascii="等线" w:hAnsi="等线" w:eastAsia="等线" w:cs="等线"/>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报告编号：（E检）字（2024）0020号</w:t>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DFD76B"/>
    <w:multiLevelType w:val="singleLevel"/>
    <w:tmpl w:val="B1DFD76B"/>
    <w:lvl w:ilvl="0" w:tentative="0">
      <w:start w:val="1"/>
      <w:numFmt w:val="decimal"/>
      <w:lvlText w:val="%1."/>
      <w:lvlJc w:val="left"/>
      <w:pPr>
        <w:tabs>
          <w:tab w:val="left" w:pos="312"/>
        </w:tabs>
      </w:pPr>
    </w:lvl>
  </w:abstractNum>
  <w:abstractNum w:abstractNumId="1">
    <w:nsid w:val="0E824719"/>
    <w:multiLevelType w:val="multilevel"/>
    <w:tmpl w:val="0E824719"/>
    <w:lvl w:ilvl="0" w:tentative="0">
      <w:start w:val="1"/>
      <w:numFmt w:val="decimal"/>
      <w:pStyle w:val="3"/>
      <w:lvlText w:val="%1"/>
      <w:lvlJc w:val="left"/>
      <w:pPr>
        <w:tabs>
          <w:tab w:val="left" w:pos="432"/>
        </w:tabs>
        <w:ind w:left="432" w:hanging="432"/>
      </w:pPr>
      <w:rPr>
        <w:rFonts w:hint="eastAsia"/>
      </w:rPr>
    </w:lvl>
    <w:lvl w:ilvl="1" w:tentative="0">
      <w:start w:val="1"/>
      <w:numFmt w:val="decimal"/>
      <w:pStyle w:val="4"/>
      <w:lvlText w:val="%1.%2"/>
      <w:lvlJc w:val="left"/>
      <w:pPr>
        <w:tabs>
          <w:tab w:val="left" w:pos="576"/>
        </w:tabs>
        <w:ind w:left="576" w:hanging="576"/>
      </w:pPr>
      <w:rPr>
        <w:rFonts w:hint="eastAsia"/>
        <w:lang w:eastAsia="zh-CN"/>
      </w:rPr>
    </w:lvl>
    <w:lvl w:ilvl="2" w:tentative="0">
      <w:start w:val="1"/>
      <w:numFmt w:val="decimal"/>
      <w:lvlText w:val="%1.%2.%3"/>
      <w:lvlJc w:val="left"/>
      <w:pPr>
        <w:tabs>
          <w:tab w:val="left" w:pos="1287"/>
        </w:tabs>
        <w:ind w:left="1287" w:hanging="720"/>
      </w:p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72A1558E"/>
    <w:multiLevelType w:val="multilevel"/>
    <w:tmpl w:val="72A1558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mODYzNDQ3NTZlOTVkYzdmOTQ0OGFjMGM0Nzg2YzIifQ=="/>
  </w:docVars>
  <w:rsids>
    <w:rsidRoot w:val="00000000"/>
    <w:rsid w:val="000969AD"/>
    <w:rsid w:val="000E3FC3"/>
    <w:rsid w:val="00135135"/>
    <w:rsid w:val="00164C26"/>
    <w:rsid w:val="002236CC"/>
    <w:rsid w:val="002A7977"/>
    <w:rsid w:val="00321CCF"/>
    <w:rsid w:val="003B7162"/>
    <w:rsid w:val="005574FC"/>
    <w:rsid w:val="007A51B4"/>
    <w:rsid w:val="00885B23"/>
    <w:rsid w:val="009A6B35"/>
    <w:rsid w:val="00A73864"/>
    <w:rsid w:val="00AD10E6"/>
    <w:rsid w:val="00DA5C53"/>
    <w:rsid w:val="01080A12"/>
    <w:rsid w:val="01412E7F"/>
    <w:rsid w:val="01465D58"/>
    <w:rsid w:val="014F03EF"/>
    <w:rsid w:val="01674A91"/>
    <w:rsid w:val="01692BFA"/>
    <w:rsid w:val="01714809"/>
    <w:rsid w:val="01DB7ED5"/>
    <w:rsid w:val="01F80A87"/>
    <w:rsid w:val="01FD609D"/>
    <w:rsid w:val="021D105C"/>
    <w:rsid w:val="023D0B8F"/>
    <w:rsid w:val="024E06A7"/>
    <w:rsid w:val="02597AF6"/>
    <w:rsid w:val="02781BC8"/>
    <w:rsid w:val="02881E0B"/>
    <w:rsid w:val="029F00AC"/>
    <w:rsid w:val="02A72070"/>
    <w:rsid w:val="02DA018C"/>
    <w:rsid w:val="02E34B7F"/>
    <w:rsid w:val="02F70D3E"/>
    <w:rsid w:val="02FA438B"/>
    <w:rsid w:val="03031491"/>
    <w:rsid w:val="03034482"/>
    <w:rsid w:val="030B2DD4"/>
    <w:rsid w:val="03100052"/>
    <w:rsid w:val="03392C07"/>
    <w:rsid w:val="033F00F2"/>
    <w:rsid w:val="034C72DC"/>
    <w:rsid w:val="034F0AF5"/>
    <w:rsid w:val="035F6CF1"/>
    <w:rsid w:val="037665D5"/>
    <w:rsid w:val="03936CB9"/>
    <w:rsid w:val="03C74F98"/>
    <w:rsid w:val="03D911C1"/>
    <w:rsid w:val="03FE4D07"/>
    <w:rsid w:val="03FF4509"/>
    <w:rsid w:val="04267B2D"/>
    <w:rsid w:val="04336046"/>
    <w:rsid w:val="04365580"/>
    <w:rsid w:val="04533F71"/>
    <w:rsid w:val="0458352F"/>
    <w:rsid w:val="045D72C7"/>
    <w:rsid w:val="046154B9"/>
    <w:rsid w:val="047828C4"/>
    <w:rsid w:val="04892F2B"/>
    <w:rsid w:val="04926F71"/>
    <w:rsid w:val="04DA0918"/>
    <w:rsid w:val="05191440"/>
    <w:rsid w:val="052878D5"/>
    <w:rsid w:val="05432019"/>
    <w:rsid w:val="054B35C3"/>
    <w:rsid w:val="05524952"/>
    <w:rsid w:val="055E0A65"/>
    <w:rsid w:val="05762C96"/>
    <w:rsid w:val="05894800"/>
    <w:rsid w:val="059135A8"/>
    <w:rsid w:val="05BE42EB"/>
    <w:rsid w:val="05D11D1B"/>
    <w:rsid w:val="05DB04A3"/>
    <w:rsid w:val="060A0D89"/>
    <w:rsid w:val="06135E8F"/>
    <w:rsid w:val="061439B5"/>
    <w:rsid w:val="06143BE5"/>
    <w:rsid w:val="061A08DC"/>
    <w:rsid w:val="0624009C"/>
    <w:rsid w:val="062F07EF"/>
    <w:rsid w:val="06345E06"/>
    <w:rsid w:val="06347F9B"/>
    <w:rsid w:val="06471FDD"/>
    <w:rsid w:val="06845857"/>
    <w:rsid w:val="0687062B"/>
    <w:rsid w:val="0696086E"/>
    <w:rsid w:val="06BF6017"/>
    <w:rsid w:val="06C4362D"/>
    <w:rsid w:val="06E16F8E"/>
    <w:rsid w:val="070E6657"/>
    <w:rsid w:val="07554285"/>
    <w:rsid w:val="077566D6"/>
    <w:rsid w:val="078D3A1F"/>
    <w:rsid w:val="079A613C"/>
    <w:rsid w:val="07A07E9A"/>
    <w:rsid w:val="08144141"/>
    <w:rsid w:val="084F2612"/>
    <w:rsid w:val="08844E22"/>
    <w:rsid w:val="089A6539"/>
    <w:rsid w:val="08BF496D"/>
    <w:rsid w:val="08C23B9D"/>
    <w:rsid w:val="08DB4A20"/>
    <w:rsid w:val="08F31FA8"/>
    <w:rsid w:val="092C7268"/>
    <w:rsid w:val="09436A8B"/>
    <w:rsid w:val="09736C45"/>
    <w:rsid w:val="09784E13"/>
    <w:rsid w:val="09842C00"/>
    <w:rsid w:val="098F629B"/>
    <w:rsid w:val="09BA2AC6"/>
    <w:rsid w:val="09C33728"/>
    <w:rsid w:val="09EA2DF9"/>
    <w:rsid w:val="09F63460"/>
    <w:rsid w:val="0A1977EC"/>
    <w:rsid w:val="0A306BC3"/>
    <w:rsid w:val="0A5D3B7D"/>
    <w:rsid w:val="0A681350"/>
    <w:rsid w:val="0A981059"/>
    <w:rsid w:val="0AE40B15"/>
    <w:rsid w:val="0B2A197E"/>
    <w:rsid w:val="0B3B01C0"/>
    <w:rsid w:val="0B792C38"/>
    <w:rsid w:val="0B7F3FC7"/>
    <w:rsid w:val="0B9510F4"/>
    <w:rsid w:val="0B9A495D"/>
    <w:rsid w:val="0BA14992"/>
    <w:rsid w:val="0BB21CA6"/>
    <w:rsid w:val="0BB56CC5"/>
    <w:rsid w:val="0BD55995"/>
    <w:rsid w:val="0C0F1C1F"/>
    <w:rsid w:val="0C1452FE"/>
    <w:rsid w:val="0C236700"/>
    <w:rsid w:val="0C245EB6"/>
    <w:rsid w:val="0CA27B19"/>
    <w:rsid w:val="0CB41A4E"/>
    <w:rsid w:val="0CCF7855"/>
    <w:rsid w:val="0CD619C5"/>
    <w:rsid w:val="0CD93263"/>
    <w:rsid w:val="0CEE4F60"/>
    <w:rsid w:val="0CF87B8D"/>
    <w:rsid w:val="0CFB767D"/>
    <w:rsid w:val="0D1A5D55"/>
    <w:rsid w:val="0D49663A"/>
    <w:rsid w:val="0D9A50E8"/>
    <w:rsid w:val="0D9A6E96"/>
    <w:rsid w:val="0DB5782C"/>
    <w:rsid w:val="0DDC125D"/>
    <w:rsid w:val="0E056A05"/>
    <w:rsid w:val="0E407A3D"/>
    <w:rsid w:val="0E433324"/>
    <w:rsid w:val="0E72396F"/>
    <w:rsid w:val="0E7D2A40"/>
    <w:rsid w:val="0EAA135B"/>
    <w:rsid w:val="0EC74C14"/>
    <w:rsid w:val="0F205179"/>
    <w:rsid w:val="0F3B0205"/>
    <w:rsid w:val="0F575422"/>
    <w:rsid w:val="0F8B2F3A"/>
    <w:rsid w:val="0FD8265B"/>
    <w:rsid w:val="10032854"/>
    <w:rsid w:val="10146177"/>
    <w:rsid w:val="1043621B"/>
    <w:rsid w:val="104E5D16"/>
    <w:rsid w:val="10967DE9"/>
    <w:rsid w:val="109C2F25"/>
    <w:rsid w:val="10E5667A"/>
    <w:rsid w:val="10EC7A09"/>
    <w:rsid w:val="111B7552"/>
    <w:rsid w:val="111D5E14"/>
    <w:rsid w:val="11244BCC"/>
    <w:rsid w:val="1147452F"/>
    <w:rsid w:val="115A7068"/>
    <w:rsid w:val="11D82B0C"/>
    <w:rsid w:val="11DD55A3"/>
    <w:rsid w:val="11F528ED"/>
    <w:rsid w:val="11FF6A9B"/>
    <w:rsid w:val="12011292"/>
    <w:rsid w:val="120D40DA"/>
    <w:rsid w:val="12296A3A"/>
    <w:rsid w:val="12386C7D"/>
    <w:rsid w:val="126161D4"/>
    <w:rsid w:val="12693C71"/>
    <w:rsid w:val="12747CB6"/>
    <w:rsid w:val="128123D2"/>
    <w:rsid w:val="12867959"/>
    <w:rsid w:val="12B10F0A"/>
    <w:rsid w:val="12CF75E2"/>
    <w:rsid w:val="12DC585B"/>
    <w:rsid w:val="12DE2EFC"/>
    <w:rsid w:val="1310245D"/>
    <w:rsid w:val="131A4BDF"/>
    <w:rsid w:val="133B313A"/>
    <w:rsid w:val="13482EF0"/>
    <w:rsid w:val="1356385F"/>
    <w:rsid w:val="13623FB2"/>
    <w:rsid w:val="138F5895"/>
    <w:rsid w:val="13C47848"/>
    <w:rsid w:val="13D529D6"/>
    <w:rsid w:val="13DF1AA7"/>
    <w:rsid w:val="140432BB"/>
    <w:rsid w:val="14045069"/>
    <w:rsid w:val="14103A0E"/>
    <w:rsid w:val="146C3693"/>
    <w:rsid w:val="14706BA3"/>
    <w:rsid w:val="14CD5DA3"/>
    <w:rsid w:val="14CF7E31"/>
    <w:rsid w:val="15086DDB"/>
    <w:rsid w:val="1524402C"/>
    <w:rsid w:val="155335C5"/>
    <w:rsid w:val="1571672E"/>
    <w:rsid w:val="15787ABD"/>
    <w:rsid w:val="1594066F"/>
    <w:rsid w:val="15DA2525"/>
    <w:rsid w:val="15E6711C"/>
    <w:rsid w:val="15E970BB"/>
    <w:rsid w:val="15FE1B72"/>
    <w:rsid w:val="16347A1B"/>
    <w:rsid w:val="167F30CD"/>
    <w:rsid w:val="168C249A"/>
    <w:rsid w:val="17013AE2"/>
    <w:rsid w:val="17035AAC"/>
    <w:rsid w:val="17575DF8"/>
    <w:rsid w:val="176C3651"/>
    <w:rsid w:val="177F5383"/>
    <w:rsid w:val="17944956"/>
    <w:rsid w:val="17B61B17"/>
    <w:rsid w:val="17BE19D3"/>
    <w:rsid w:val="17C55F96"/>
    <w:rsid w:val="17E82683"/>
    <w:rsid w:val="17EE4066"/>
    <w:rsid w:val="17F11DA8"/>
    <w:rsid w:val="18097F2F"/>
    <w:rsid w:val="183A54FD"/>
    <w:rsid w:val="183C5270"/>
    <w:rsid w:val="186F1BC2"/>
    <w:rsid w:val="187E32E2"/>
    <w:rsid w:val="18C96881"/>
    <w:rsid w:val="18CA0886"/>
    <w:rsid w:val="18CE2D30"/>
    <w:rsid w:val="18E762A1"/>
    <w:rsid w:val="191E097B"/>
    <w:rsid w:val="191F64A1"/>
    <w:rsid w:val="192341E3"/>
    <w:rsid w:val="19600F94"/>
    <w:rsid w:val="19726F19"/>
    <w:rsid w:val="19751F5E"/>
    <w:rsid w:val="19932D33"/>
    <w:rsid w:val="19BB266E"/>
    <w:rsid w:val="19CB5E4C"/>
    <w:rsid w:val="19E33973"/>
    <w:rsid w:val="19FB2A6A"/>
    <w:rsid w:val="1A1F0E4F"/>
    <w:rsid w:val="1A226249"/>
    <w:rsid w:val="1A4B0100"/>
    <w:rsid w:val="1A4B5654"/>
    <w:rsid w:val="1A5A1E87"/>
    <w:rsid w:val="1A6241C8"/>
    <w:rsid w:val="1A7C578A"/>
    <w:rsid w:val="1A825E26"/>
    <w:rsid w:val="1A89276C"/>
    <w:rsid w:val="1ABD5F72"/>
    <w:rsid w:val="1AC742B5"/>
    <w:rsid w:val="1AF12508"/>
    <w:rsid w:val="1AF44089"/>
    <w:rsid w:val="1AFF658A"/>
    <w:rsid w:val="1B0D6EF9"/>
    <w:rsid w:val="1B1C538E"/>
    <w:rsid w:val="1B4B7A22"/>
    <w:rsid w:val="1B740D26"/>
    <w:rsid w:val="1B862808"/>
    <w:rsid w:val="1C002210"/>
    <w:rsid w:val="1C033E58"/>
    <w:rsid w:val="1C3404B6"/>
    <w:rsid w:val="1C424981"/>
    <w:rsid w:val="1C4C57FF"/>
    <w:rsid w:val="1C760ACE"/>
    <w:rsid w:val="1C872CDB"/>
    <w:rsid w:val="1C99656B"/>
    <w:rsid w:val="1CB03FE0"/>
    <w:rsid w:val="1CB533A4"/>
    <w:rsid w:val="1CB6536F"/>
    <w:rsid w:val="1CBB2985"/>
    <w:rsid w:val="1CE10018"/>
    <w:rsid w:val="1D1C78C7"/>
    <w:rsid w:val="1D2D5631"/>
    <w:rsid w:val="1D2F0211"/>
    <w:rsid w:val="1D41732E"/>
    <w:rsid w:val="1D5D48F4"/>
    <w:rsid w:val="1D75199D"/>
    <w:rsid w:val="1D81597C"/>
    <w:rsid w:val="1D8D2573"/>
    <w:rsid w:val="1DF24184"/>
    <w:rsid w:val="1DF4614E"/>
    <w:rsid w:val="1E087E4C"/>
    <w:rsid w:val="1E4A5D6E"/>
    <w:rsid w:val="1EB37DB8"/>
    <w:rsid w:val="1EC30D1B"/>
    <w:rsid w:val="1EEB7551"/>
    <w:rsid w:val="1EEC217F"/>
    <w:rsid w:val="1F58270D"/>
    <w:rsid w:val="1F882FF2"/>
    <w:rsid w:val="1F8B366A"/>
    <w:rsid w:val="1F9574BD"/>
    <w:rsid w:val="1FA12306"/>
    <w:rsid w:val="1FAC759E"/>
    <w:rsid w:val="1FAD2A59"/>
    <w:rsid w:val="1FF266BE"/>
    <w:rsid w:val="20566C4C"/>
    <w:rsid w:val="208512E0"/>
    <w:rsid w:val="20AB2CE9"/>
    <w:rsid w:val="20C04E62"/>
    <w:rsid w:val="214116AB"/>
    <w:rsid w:val="214259F5"/>
    <w:rsid w:val="2158624D"/>
    <w:rsid w:val="217A0481"/>
    <w:rsid w:val="21A73447"/>
    <w:rsid w:val="21A94385"/>
    <w:rsid w:val="21E851B1"/>
    <w:rsid w:val="21F42BC1"/>
    <w:rsid w:val="2217065D"/>
    <w:rsid w:val="224E271B"/>
    <w:rsid w:val="22714212"/>
    <w:rsid w:val="22992BFF"/>
    <w:rsid w:val="22BD2FB3"/>
    <w:rsid w:val="22C407E5"/>
    <w:rsid w:val="22D14CB0"/>
    <w:rsid w:val="22F30AA5"/>
    <w:rsid w:val="23007343"/>
    <w:rsid w:val="23303437"/>
    <w:rsid w:val="233174FD"/>
    <w:rsid w:val="2335523F"/>
    <w:rsid w:val="234A2BA6"/>
    <w:rsid w:val="2358717F"/>
    <w:rsid w:val="23810484"/>
    <w:rsid w:val="23A10B26"/>
    <w:rsid w:val="23AC3027"/>
    <w:rsid w:val="240D3AC6"/>
    <w:rsid w:val="242C1EF7"/>
    <w:rsid w:val="246062EC"/>
    <w:rsid w:val="2463402E"/>
    <w:rsid w:val="24681644"/>
    <w:rsid w:val="24724271"/>
    <w:rsid w:val="249661B1"/>
    <w:rsid w:val="24990502"/>
    <w:rsid w:val="24AC7783"/>
    <w:rsid w:val="24B634E8"/>
    <w:rsid w:val="252707D2"/>
    <w:rsid w:val="255F47F5"/>
    <w:rsid w:val="258B6B8A"/>
    <w:rsid w:val="25981AB5"/>
    <w:rsid w:val="25C97EC1"/>
    <w:rsid w:val="25D419BB"/>
    <w:rsid w:val="25F50CB6"/>
    <w:rsid w:val="2604171C"/>
    <w:rsid w:val="26144D4E"/>
    <w:rsid w:val="26190E48"/>
    <w:rsid w:val="261D1FBA"/>
    <w:rsid w:val="264E5315"/>
    <w:rsid w:val="26741610"/>
    <w:rsid w:val="26751DF6"/>
    <w:rsid w:val="26A8654C"/>
    <w:rsid w:val="26BC17D3"/>
    <w:rsid w:val="26E94069"/>
    <w:rsid w:val="26EC030B"/>
    <w:rsid w:val="270E195B"/>
    <w:rsid w:val="27160EE4"/>
    <w:rsid w:val="27172737"/>
    <w:rsid w:val="273121C1"/>
    <w:rsid w:val="27677991"/>
    <w:rsid w:val="27792C23"/>
    <w:rsid w:val="277A3B68"/>
    <w:rsid w:val="278422F1"/>
    <w:rsid w:val="27A42993"/>
    <w:rsid w:val="27BD555B"/>
    <w:rsid w:val="27E47234"/>
    <w:rsid w:val="28061AB2"/>
    <w:rsid w:val="280C22E7"/>
    <w:rsid w:val="28295051"/>
    <w:rsid w:val="2849353B"/>
    <w:rsid w:val="28B27332"/>
    <w:rsid w:val="28B9246E"/>
    <w:rsid w:val="28BC1F5F"/>
    <w:rsid w:val="28ED3EC6"/>
    <w:rsid w:val="297653C6"/>
    <w:rsid w:val="29A232CE"/>
    <w:rsid w:val="29A24CB1"/>
    <w:rsid w:val="29D50F6E"/>
    <w:rsid w:val="29E4176D"/>
    <w:rsid w:val="29EA6657"/>
    <w:rsid w:val="2A123103"/>
    <w:rsid w:val="2A1853C2"/>
    <w:rsid w:val="2A297180"/>
    <w:rsid w:val="2A691C72"/>
    <w:rsid w:val="2A70263E"/>
    <w:rsid w:val="2A8645D2"/>
    <w:rsid w:val="2A930A9D"/>
    <w:rsid w:val="2AB15E23"/>
    <w:rsid w:val="2AD0584D"/>
    <w:rsid w:val="2B2160A9"/>
    <w:rsid w:val="2B342280"/>
    <w:rsid w:val="2B9B05D5"/>
    <w:rsid w:val="2BA2543C"/>
    <w:rsid w:val="2BAC4B69"/>
    <w:rsid w:val="2BE041B6"/>
    <w:rsid w:val="2C1856FE"/>
    <w:rsid w:val="2C2C11A9"/>
    <w:rsid w:val="2C532BDA"/>
    <w:rsid w:val="2C576226"/>
    <w:rsid w:val="2C5A5D16"/>
    <w:rsid w:val="2C5A78B7"/>
    <w:rsid w:val="2C622E1D"/>
    <w:rsid w:val="2C624BCB"/>
    <w:rsid w:val="2C640943"/>
    <w:rsid w:val="2C7548FE"/>
    <w:rsid w:val="2C772424"/>
    <w:rsid w:val="2C844B41"/>
    <w:rsid w:val="2CB25B52"/>
    <w:rsid w:val="2CC31B0E"/>
    <w:rsid w:val="2D0839C4"/>
    <w:rsid w:val="2D144117"/>
    <w:rsid w:val="2D405CF2"/>
    <w:rsid w:val="2D5E35E4"/>
    <w:rsid w:val="2DA37249"/>
    <w:rsid w:val="2DBE22D5"/>
    <w:rsid w:val="2DC23B73"/>
    <w:rsid w:val="2DC84F02"/>
    <w:rsid w:val="2DD45BA6"/>
    <w:rsid w:val="2E20089A"/>
    <w:rsid w:val="2E456552"/>
    <w:rsid w:val="2E4A57EF"/>
    <w:rsid w:val="2E541F3F"/>
    <w:rsid w:val="2E6438CA"/>
    <w:rsid w:val="2EAB0AAB"/>
    <w:rsid w:val="2ED973C6"/>
    <w:rsid w:val="2EEE0998"/>
    <w:rsid w:val="2EFE507F"/>
    <w:rsid w:val="2F032695"/>
    <w:rsid w:val="2F3E547B"/>
    <w:rsid w:val="2F633D0C"/>
    <w:rsid w:val="2F7215C9"/>
    <w:rsid w:val="2F745341"/>
    <w:rsid w:val="2FA63021"/>
    <w:rsid w:val="304F498E"/>
    <w:rsid w:val="30607673"/>
    <w:rsid w:val="30676C54"/>
    <w:rsid w:val="30A27C8C"/>
    <w:rsid w:val="30AC6D16"/>
    <w:rsid w:val="30B8125D"/>
    <w:rsid w:val="312A215B"/>
    <w:rsid w:val="31501496"/>
    <w:rsid w:val="31724735"/>
    <w:rsid w:val="3177710D"/>
    <w:rsid w:val="317E6003"/>
    <w:rsid w:val="31903F88"/>
    <w:rsid w:val="319E7B66"/>
    <w:rsid w:val="31A57A34"/>
    <w:rsid w:val="31AD0696"/>
    <w:rsid w:val="31B67AC5"/>
    <w:rsid w:val="31BD2FCF"/>
    <w:rsid w:val="31C14142"/>
    <w:rsid w:val="31FE5396"/>
    <w:rsid w:val="32116E77"/>
    <w:rsid w:val="321D1CFC"/>
    <w:rsid w:val="322779B9"/>
    <w:rsid w:val="3229655F"/>
    <w:rsid w:val="322C1F03"/>
    <w:rsid w:val="32676A97"/>
    <w:rsid w:val="32805DAB"/>
    <w:rsid w:val="329655CE"/>
    <w:rsid w:val="32AA7D8C"/>
    <w:rsid w:val="32AC42BE"/>
    <w:rsid w:val="32BA306B"/>
    <w:rsid w:val="32C91500"/>
    <w:rsid w:val="32CB1F6F"/>
    <w:rsid w:val="32D00AE0"/>
    <w:rsid w:val="330A1DBD"/>
    <w:rsid w:val="332130EA"/>
    <w:rsid w:val="333C43C8"/>
    <w:rsid w:val="33811DDB"/>
    <w:rsid w:val="33DC34B5"/>
    <w:rsid w:val="33DE722D"/>
    <w:rsid w:val="33E12879"/>
    <w:rsid w:val="33EF414B"/>
    <w:rsid w:val="342235BE"/>
    <w:rsid w:val="34264730"/>
    <w:rsid w:val="34557FC2"/>
    <w:rsid w:val="34675474"/>
    <w:rsid w:val="34833930"/>
    <w:rsid w:val="34951FE2"/>
    <w:rsid w:val="34A55F9D"/>
    <w:rsid w:val="34B00BC9"/>
    <w:rsid w:val="34E12B19"/>
    <w:rsid w:val="34E62997"/>
    <w:rsid w:val="34F860CC"/>
    <w:rsid w:val="353115DE"/>
    <w:rsid w:val="353D7F83"/>
    <w:rsid w:val="35675000"/>
    <w:rsid w:val="35944047"/>
    <w:rsid w:val="35951B6D"/>
    <w:rsid w:val="359F479A"/>
    <w:rsid w:val="35E36B0D"/>
    <w:rsid w:val="362722E5"/>
    <w:rsid w:val="362F3D70"/>
    <w:rsid w:val="36301F89"/>
    <w:rsid w:val="36563EA7"/>
    <w:rsid w:val="368045CB"/>
    <w:rsid w:val="36883480"/>
    <w:rsid w:val="369938DF"/>
    <w:rsid w:val="369E2CA4"/>
    <w:rsid w:val="36E508D2"/>
    <w:rsid w:val="370B658B"/>
    <w:rsid w:val="371116C7"/>
    <w:rsid w:val="373F4487"/>
    <w:rsid w:val="3757357E"/>
    <w:rsid w:val="37B35B5D"/>
    <w:rsid w:val="37B60986"/>
    <w:rsid w:val="37BC1633"/>
    <w:rsid w:val="37D03331"/>
    <w:rsid w:val="37D921E5"/>
    <w:rsid w:val="37DD2E0C"/>
    <w:rsid w:val="37EF6127"/>
    <w:rsid w:val="37FB65FF"/>
    <w:rsid w:val="38006634"/>
    <w:rsid w:val="38190834"/>
    <w:rsid w:val="38305B7D"/>
    <w:rsid w:val="384C4EC2"/>
    <w:rsid w:val="386D5023"/>
    <w:rsid w:val="388D05D2"/>
    <w:rsid w:val="38C06F01"/>
    <w:rsid w:val="38C569BF"/>
    <w:rsid w:val="38DB01DF"/>
    <w:rsid w:val="38E34501"/>
    <w:rsid w:val="390A424D"/>
    <w:rsid w:val="393A4E57"/>
    <w:rsid w:val="395744BD"/>
    <w:rsid w:val="39657678"/>
    <w:rsid w:val="397C544B"/>
    <w:rsid w:val="398243D2"/>
    <w:rsid w:val="399D5830"/>
    <w:rsid w:val="39BA4298"/>
    <w:rsid w:val="39C173D5"/>
    <w:rsid w:val="39CF53D6"/>
    <w:rsid w:val="39D61F15"/>
    <w:rsid w:val="39D8471E"/>
    <w:rsid w:val="3A257964"/>
    <w:rsid w:val="3A3E27D3"/>
    <w:rsid w:val="3A4678DA"/>
    <w:rsid w:val="3A703C28"/>
    <w:rsid w:val="3A706705"/>
    <w:rsid w:val="3A777A93"/>
    <w:rsid w:val="3A85106E"/>
    <w:rsid w:val="3AC84793"/>
    <w:rsid w:val="3AE96BE3"/>
    <w:rsid w:val="3AF61300"/>
    <w:rsid w:val="3B2319C9"/>
    <w:rsid w:val="3B3D0CDD"/>
    <w:rsid w:val="3B5D137F"/>
    <w:rsid w:val="3B697D24"/>
    <w:rsid w:val="3BAF79CF"/>
    <w:rsid w:val="3BB85130"/>
    <w:rsid w:val="3BCB62E9"/>
    <w:rsid w:val="3BDD601C"/>
    <w:rsid w:val="3BE67536"/>
    <w:rsid w:val="3BF61492"/>
    <w:rsid w:val="3C025A83"/>
    <w:rsid w:val="3C090BBF"/>
    <w:rsid w:val="3C17152E"/>
    <w:rsid w:val="3C6D55F2"/>
    <w:rsid w:val="3C94492D"/>
    <w:rsid w:val="3C990195"/>
    <w:rsid w:val="3CB23005"/>
    <w:rsid w:val="3CEA023A"/>
    <w:rsid w:val="3CF74EBC"/>
    <w:rsid w:val="3CF75B8E"/>
    <w:rsid w:val="3D513BA1"/>
    <w:rsid w:val="3D5347E8"/>
    <w:rsid w:val="3D6267D9"/>
    <w:rsid w:val="3DB8289D"/>
    <w:rsid w:val="3DBC7C7D"/>
    <w:rsid w:val="3DE23DBE"/>
    <w:rsid w:val="3E1B3646"/>
    <w:rsid w:val="3E241CE0"/>
    <w:rsid w:val="3E442382"/>
    <w:rsid w:val="3E5E1696"/>
    <w:rsid w:val="3E854E75"/>
    <w:rsid w:val="3E8E2BFE"/>
    <w:rsid w:val="3EBF7C5B"/>
    <w:rsid w:val="3ECC2EBA"/>
    <w:rsid w:val="3F1C6E5B"/>
    <w:rsid w:val="3F381EE7"/>
    <w:rsid w:val="3F5211D7"/>
    <w:rsid w:val="3F99370D"/>
    <w:rsid w:val="3FD20B2C"/>
    <w:rsid w:val="3FD97740"/>
    <w:rsid w:val="3FE93C94"/>
    <w:rsid w:val="3FE94F8F"/>
    <w:rsid w:val="3FEC4A80"/>
    <w:rsid w:val="3FEE4DB8"/>
    <w:rsid w:val="4033445D"/>
    <w:rsid w:val="40662560"/>
    <w:rsid w:val="40703903"/>
    <w:rsid w:val="40CB6D8B"/>
    <w:rsid w:val="41320BB8"/>
    <w:rsid w:val="41405083"/>
    <w:rsid w:val="41452699"/>
    <w:rsid w:val="416B7C26"/>
    <w:rsid w:val="417108A0"/>
    <w:rsid w:val="41936AC3"/>
    <w:rsid w:val="419E1DAA"/>
    <w:rsid w:val="41CA1DD4"/>
    <w:rsid w:val="41CF4659"/>
    <w:rsid w:val="41DB1250"/>
    <w:rsid w:val="41FD3E50"/>
    <w:rsid w:val="42044303"/>
    <w:rsid w:val="42106F48"/>
    <w:rsid w:val="421F113C"/>
    <w:rsid w:val="42220C2D"/>
    <w:rsid w:val="42366486"/>
    <w:rsid w:val="425132C0"/>
    <w:rsid w:val="426D634C"/>
    <w:rsid w:val="42921365"/>
    <w:rsid w:val="42BE6BA7"/>
    <w:rsid w:val="42C972FA"/>
    <w:rsid w:val="42E61C5A"/>
    <w:rsid w:val="43160791"/>
    <w:rsid w:val="43360EB8"/>
    <w:rsid w:val="433E584E"/>
    <w:rsid w:val="435766B4"/>
    <w:rsid w:val="43776D56"/>
    <w:rsid w:val="438C0A54"/>
    <w:rsid w:val="438F22F2"/>
    <w:rsid w:val="438F5E4E"/>
    <w:rsid w:val="43D23F8D"/>
    <w:rsid w:val="43DF5653"/>
    <w:rsid w:val="44004F9E"/>
    <w:rsid w:val="440B3B62"/>
    <w:rsid w:val="44114AB5"/>
    <w:rsid w:val="44305883"/>
    <w:rsid w:val="443469F5"/>
    <w:rsid w:val="443F7874"/>
    <w:rsid w:val="44A14066"/>
    <w:rsid w:val="44BE6B77"/>
    <w:rsid w:val="44D22496"/>
    <w:rsid w:val="44DA134B"/>
    <w:rsid w:val="44EF12BE"/>
    <w:rsid w:val="45050ABD"/>
    <w:rsid w:val="4521341D"/>
    <w:rsid w:val="455530C7"/>
    <w:rsid w:val="45633A36"/>
    <w:rsid w:val="45806396"/>
    <w:rsid w:val="45BB5620"/>
    <w:rsid w:val="45CC15DB"/>
    <w:rsid w:val="46543991"/>
    <w:rsid w:val="46971BE9"/>
    <w:rsid w:val="46FD57C4"/>
    <w:rsid w:val="472471F5"/>
    <w:rsid w:val="473016F6"/>
    <w:rsid w:val="475A49C5"/>
    <w:rsid w:val="475A6773"/>
    <w:rsid w:val="47716A9C"/>
    <w:rsid w:val="47A520E4"/>
    <w:rsid w:val="48083ADD"/>
    <w:rsid w:val="48D43A0A"/>
    <w:rsid w:val="48D6699E"/>
    <w:rsid w:val="48F13107"/>
    <w:rsid w:val="490908C5"/>
    <w:rsid w:val="49311755"/>
    <w:rsid w:val="4958156F"/>
    <w:rsid w:val="496658A3"/>
    <w:rsid w:val="497E2BEC"/>
    <w:rsid w:val="49921E2A"/>
    <w:rsid w:val="49C1060A"/>
    <w:rsid w:val="49CA215F"/>
    <w:rsid w:val="49E31676"/>
    <w:rsid w:val="49FD6207"/>
    <w:rsid w:val="4A2117CA"/>
    <w:rsid w:val="4A8113B6"/>
    <w:rsid w:val="4AC26B09"/>
    <w:rsid w:val="4AE271AB"/>
    <w:rsid w:val="4B1730BE"/>
    <w:rsid w:val="4B296B88"/>
    <w:rsid w:val="4B35552D"/>
    <w:rsid w:val="4B46598C"/>
    <w:rsid w:val="4B6B0F4E"/>
    <w:rsid w:val="4BD55CC5"/>
    <w:rsid w:val="4BD74669"/>
    <w:rsid w:val="4BF35BAB"/>
    <w:rsid w:val="4BFC429C"/>
    <w:rsid w:val="4C10618C"/>
    <w:rsid w:val="4C673E0C"/>
    <w:rsid w:val="4C8C5620"/>
    <w:rsid w:val="4C924C68"/>
    <w:rsid w:val="4CA50490"/>
    <w:rsid w:val="4CAA3CF8"/>
    <w:rsid w:val="4CCB656B"/>
    <w:rsid w:val="4CCD336D"/>
    <w:rsid w:val="4D4759EB"/>
    <w:rsid w:val="4D5D0D6B"/>
    <w:rsid w:val="4D681722"/>
    <w:rsid w:val="4D7560B4"/>
    <w:rsid w:val="4D804F96"/>
    <w:rsid w:val="4DA8648A"/>
    <w:rsid w:val="4DFB79B8"/>
    <w:rsid w:val="4E0839BF"/>
    <w:rsid w:val="4E127DA7"/>
    <w:rsid w:val="4E41243B"/>
    <w:rsid w:val="4E557601"/>
    <w:rsid w:val="4E8F13F8"/>
    <w:rsid w:val="4E916F1E"/>
    <w:rsid w:val="4EB44A1C"/>
    <w:rsid w:val="4EC217CD"/>
    <w:rsid w:val="4EDB463D"/>
    <w:rsid w:val="4EF65579"/>
    <w:rsid w:val="4F764366"/>
    <w:rsid w:val="4F840831"/>
    <w:rsid w:val="4F9F4AC1"/>
    <w:rsid w:val="4FA40ED3"/>
    <w:rsid w:val="4FB31116"/>
    <w:rsid w:val="4FCB46B2"/>
    <w:rsid w:val="4FD050CD"/>
    <w:rsid w:val="4FEC63D6"/>
    <w:rsid w:val="4FF12116"/>
    <w:rsid w:val="4FF249A8"/>
    <w:rsid w:val="50011E81"/>
    <w:rsid w:val="500842E2"/>
    <w:rsid w:val="50167979"/>
    <w:rsid w:val="507765E7"/>
    <w:rsid w:val="50903B0E"/>
    <w:rsid w:val="50EE06F3"/>
    <w:rsid w:val="50F465B6"/>
    <w:rsid w:val="51031C29"/>
    <w:rsid w:val="51624765"/>
    <w:rsid w:val="518A5EA7"/>
    <w:rsid w:val="51A056F2"/>
    <w:rsid w:val="51AE7DE7"/>
    <w:rsid w:val="51C05ECE"/>
    <w:rsid w:val="51C07B1A"/>
    <w:rsid w:val="51D535C6"/>
    <w:rsid w:val="51E56D41"/>
    <w:rsid w:val="51EE3840"/>
    <w:rsid w:val="52210174"/>
    <w:rsid w:val="52232583"/>
    <w:rsid w:val="522444AD"/>
    <w:rsid w:val="526C1A43"/>
    <w:rsid w:val="52707792"/>
    <w:rsid w:val="527C4B7E"/>
    <w:rsid w:val="52A42F98"/>
    <w:rsid w:val="52B16352"/>
    <w:rsid w:val="52BE22AC"/>
    <w:rsid w:val="52DB4C0C"/>
    <w:rsid w:val="52E9057F"/>
    <w:rsid w:val="52F55F06"/>
    <w:rsid w:val="53114AD1"/>
    <w:rsid w:val="53424C8B"/>
    <w:rsid w:val="53536E98"/>
    <w:rsid w:val="5381347D"/>
    <w:rsid w:val="53886703"/>
    <w:rsid w:val="53A70F92"/>
    <w:rsid w:val="53C102A5"/>
    <w:rsid w:val="5405326E"/>
    <w:rsid w:val="541008E5"/>
    <w:rsid w:val="54403DE2"/>
    <w:rsid w:val="54752E3E"/>
    <w:rsid w:val="54843081"/>
    <w:rsid w:val="549459BA"/>
    <w:rsid w:val="5495703C"/>
    <w:rsid w:val="54C45476"/>
    <w:rsid w:val="54C87412"/>
    <w:rsid w:val="54D264E2"/>
    <w:rsid w:val="54DB2963"/>
    <w:rsid w:val="54FC70BB"/>
    <w:rsid w:val="55030E5B"/>
    <w:rsid w:val="550C2A76"/>
    <w:rsid w:val="550E1E22"/>
    <w:rsid w:val="55125F07"/>
    <w:rsid w:val="551636DF"/>
    <w:rsid w:val="551B39E5"/>
    <w:rsid w:val="554A7E27"/>
    <w:rsid w:val="555935C2"/>
    <w:rsid w:val="555A514E"/>
    <w:rsid w:val="556B7163"/>
    <w:rsid w:val="55C23E61"/>
    <w:rsid w:val="55E16B3B"/>
    <w:rsid w:val="55F10AC4"/>
    <w:rsid w:val="56350AD7"/>
    <w:rsid w:val="56576C9F"/>
    <w:rsid w:val="567C4300"/>
    <w:rsid w:val="56D7393C"/>
    <w:rsid w:val="56DB78D0"/>
    <w:rsid w:val="56E61DD1"/>
    <w:rsid w:val="571024BE"/>
    <w:rsid w:val="57106E4E"/>
    <w:rsid w:val="57402630"/>
    <w:rsid w:val="57560D05"/>
    <w:rsid w:val="576D42A0"/>
    <w:rsid w:val="57723718"/>
    <w:rsid w:val="57D1482F"/>
    <w:rsid w:val="57DC6508"/>
    <w:rsid w:val="57F95B34"/>
    <w:rsid w:val="57FB7AFE"/>
    <w:rsid w:val="57FE544A"/>
    <w:rsid w:val="581C1975"/>
    <w:rsid w:val="5822508B"/>
    <w:rsid w:val="586C27AA"/>
    <w:rsid w:val="58721A69"/>
    <w:rsid w:val="588875E4"/>
    <w:rsid w:val="5889335C"/>
    <w:rsid w:val="588C0A52"/>
    <w:rsid w:val="58B33F35"/>
    <w:rsid w:val="58C6769E"/>
    <w:rsid w:val="59372DB8"/>
    <w:rsid w:val="59404954"/>
    <w:rsid w:val="596D67DA"/>
    <w:rsid w:val="59710078"/>
    <w:rsid w:val="59831B59"/>
    <w:rsid w:val="5A47527D"/>
    <w:rsid w:val="5A6279C1"/>
    <w:rsid w:val="5A675B6B"/>
    <w:rsid w:val="5A6E11CF"/>
    <w:rsid w:val="5A76346C"/>
    <w:rsid w:val="5AB67AE8"/>
    <w:rsid w:val="5AC55827"/>
    <w:rsid w:val="5B0B62AA"/>
    <w:rsid w:val="5B215ACE"/>
    <w:rsid w:val="5B2D6220"/>
    <w:rsid w:val="5B3E406D"/>
    <w:rsid w:val="5B442D6E"/>
    <w:rsid w:val="5B4B66A7"/>
    <w:rsid w:val="5B525C87"/>
    <w:rsid w:val="5B6D486F"/>
    <w:rsid w:val="5B7F0108"/>
    <w:rsid w:val="5BB94465"/>
    <w:rsid w:val="5BC43B2B"/>
    <w:rsid w:val="5BD448EE"/>
    <w:rsid w:val="5BEF797A"/>
    <w:rsid w:val="5C3D7952"/>
    <w:rsid w:val="5C4A2E02"/>
    <w:rsid w:val="5C602626"/>
    <w:rsid w:val="5C6C1BB0"/>
    <w:rsid w:val="5C6E089F"/>
    <w:rsid w:val="5C853E3A"/>
    <w:rsid w:val="5C992492"/>
    <w:rsid w:val="5CB85FBE"/>
    <w:rsid w:val="5CFA4C4B"/>
    <w:rsid w:val="5D0F4E8E"/>
    <w:rsid w:val="5D1F428F"/>
    <w:rsid w:val="5D261FBF"/>
    <w:rsid w:val="5D3F048D"/>
    <w:rsid w:val="5D4D6706"/>
    <w:rsid w:val="5D77022B"/>
    <w:rsid w:val="5D8979D6"/>
    <w:rsid w:val="5DB02629"/>
    <w:rsid w:val="5DF72B16"/>
    <w:rsid w:val="5E2D4789"/>
    <w:rsid w:val="5E4B4D32"/>
    <w:rsid w:val="5E5D6E1D"/>
    <w:rsid w:val="5E631F59"/>
    <w:rsid w:val="5E8B1BDC"/>
    <w:rsid w:val="5EE75F74"/>
    <w:rsid w:val="5EFF7ED4"/>
    <w:rsid w:val="5F37149E"/>
    <w:rsid w:val="5FC73F84"/>
    <w:rsid w:val="5FD916A6"/>
    <w:rsid w:val="600A2FD4"/>
    <w:rsid w:val="60343D42"/>
    <w:rsid w:val="60377D1B"/>
    <w:rsid w:val="6051650D"/>
    <w:rsid w:val="60D34606"/>
    <w:rsid w:val="61244C90"/>
    <w:rsid w:val="6132067F"/>
    <w:rsid w:val="6151078F"/>
    <w:rsid w:val="61525C94"/>
    <w:rsid w:val="617701F5"/>
    <w:rsid w:val="61BC02FE"/>
    <w:rsid w:val="61ED495B"/>
    <w:rsid w:val="620B6B90"/>
    <w:rsid w:val="62262318"/>
    <w:rsid w:val="622814F0"/>
    <w:rsid w:val="624327CD"/>
    <w:rsid w:val="62830E1C"/>
    <w:rsid w:val="62A72D7A"/>
    <w:rsid w:val="62E945BE"/>
    <w:rsid w:val="62F12229"/>
    <w:rsid w:val="630755A9"/>
    <w:rsid w:val="633C4BB3"/>
    <w:rsid w:val="635C3B47"/>
    <w:rsid w:val="63862972"/>
    <w:rsid w:val="63A765F8"/>
    <w:rsid w:val="63B4752E"/>
    <w:rsid w:val="6416019A"/>
    <w:rsid w:val="64202DC6"/>
    <w:rsid w:val="64803865"/>
    <w:rsid w:val="64A31301"/>
    <w:rsid w:val="64D2701D"/>
    <w:rsid w:val="64F34BE1"/>
    <w:rsid w:val="64FD3107"/>
    <w:rsid w:val="655A5E64"/>
    <w:rsid w:val="65D20E3C"/>
    <w:rsid w:val="65D22CB3"/>
    <w:rsid w:val="660B1854"/>
    <w:rsid w:val="66342B59"/>
    <w:rsid w:val="66423CCD"/>
    <w:rsid w:val="669255D1"/>
    <w:rsid w:val="66E20C04"/>
    <w:rsid w:val="66FB3677"/>
    <w:rsid w:val="670E7DF4"/>
    <w:rsid w:val="67207282"/>
    <w:rsid w:val="676A25AA"/>
    <w:rsid w:val="678371C8"/>
    <w:rsid w:val="679F4002"/>
    <w:rsid w:val="67AC458E"/>
    <w:rsid w:val="67BC289E"/>
    <w:rsid w:val="67C40DEF"/>
    <w:rsid w:val="67D374BE"/>
    <w:rsid w:val="67DA14DE"/>
    <w:rsid w:val="67EB5499"/>
    <w:rsid w:val="67F059C8"/>
    <w:rsid w:val="68060525"/>
    <w:rsid w:val="681A18DB"/>
    <w:rsid w:val="68386205"/>
    <w:rsid w:val="68925915"/>
    <w:rsid w:val="689773CF"/>
    <w:rsid w:val="689F7087"/>
    <w:rsid w:val="68ED5241"/>
    <w:rsid w:val="694D7A8E"/>
    <w:rsid w:val="69894F6A"/>
    <w:rsid w:val="69B144C0"/>
    <w:rsid w:val="6A303637"/>
    <w:rsid w:val="6A582B8E"/>
    <w:rsid w:val="6AC10733"/>
    <w:rsid w:val="6ACB15B2"/>
    <w:rsid w:val="6AEA7C8A"/>
    <w:rsid w:val="6B0D3978"/>
    <w:rsid w:val="6B19231D"/>
    <w:rsid w:val="6B385388"/>
    <w:rsid w:val="6B5A0B7F"/>
    <w:rsid w:val="6B7548AE"/>
    <w:rsid w:val="6B877B09"/>
    <w:rsid w:val="6B8D1A5D"/>
    <w:rsid w:val="6B953B3D"/>
    <w:rsid w:val="6B9B2D32"/>
    <w:rsid w:val="6BA51E03"/>
    <w:rsid w:val="6BB95134"/>
    <w:rsid w:val="6BC0730B"/>
    <w:rsid w:val="6BC409B4"/>
    <w:rsid w:val="6BEB1F0C"/>
    <w:rsid w:val="6C367856"/>
    <w:rsid w:val="6C3E161E"/>
    <w:rsid w:val="6C67530A"/>
    <w:rsid w:val="6CB70040"/>
    <w:rsid w:val="6CBD2CAF"/>
    <w:rsid w:val="6CC36D8E"/>
    <w:rsid w:val="6CD36AC3"/>
    <w:rsid w:val="6CD429A0"/>
    <w:rsid w:val="6D277080"/>
    <w:rsid w:val="6D2A25C0"/>
    <w:rsid w:val="6D3B2A1F"/>
    <w:rsid w:val="6D433682"/>
    <w:rsid w:val="6D503E24"/>
    <w:rsid w:val="6D622AEB"/>
    <w:rsid w:val="6D88378A"/>
    <w:rsid w:val="6D8A305E"/>
    <w:rsid w:val="6D8B6DD7"/>
    <w:rsid w:val="6D9236CD"/>
    <w:rsid w:val="6DD62748"/>
    <w:rsid w:val="6DD93FE6"/>
    <w:rsid w:val="6DF50ACA"/>
    <w:rsid w:val="6E014D3E"/>
    <w:rsid w:val="6E22773B"/>
    <w:rsid w:val="6E2C05BA"/>
    <w:rsid w:val="6E31797E"/>
    <w:rsid w:val="6E396833"/>
    <w:rsid w:val="6E421B8B"/>
    <w:rsid w:val="6E6E0A4C"/>
    <w:rsid w:val="6ECB1B80"/>
    <w:rsid w:val="6ED07197"/>
    <w:rsid w:val="6EF939F6"/>
    <w:rsid w:val="6F110A10"/>
    <w:rsid w:val="6F2474E3"/>
    <w:rsid w:val="6F38459B"/>
    <w:rsid w:val="6F457B85"/>
    <w:rsid w:val="6F530F2F"/>
    <w:rsid w:val="6F6A75EB"/>
    <w:rsid w:val="6F710981"/>
    <w:rsid w:val="6F877593"/>
    <w:rsid w:val="6FC00FB9"/>
    <w:rsid w:val="6FCC0900"/>
    <w:rsid w:val="6FDA3886"/>
    <w:rsid w:val="6FDE2037"/>
    <w:rsid w:val="6FE70C3C"/>
    <w:rsid w:val="6FF142A0"/>
    <w:rsid w:val="6FFE7D34"/>
    <w:rsid w:val="7007308C"/>
    <w:rsid w:val="70367AE5"/>
    <w:rsid w:val="706A1742"/>
    <w:rsid w:val="70802DBA"/>
    <w:rsid w:val="708A15C7"/>
    <w:rsid w:val="708D3108"/>
    <w:rsid w:val="70A14762"/>
    <w:rsid w:val="70AE2FF1"/>
    <w:rsid w:val="70B3270F"/>
    <w:rsid w:val="70D475D2"/>
    <w:rsid w:val="714F21F0"/>
    <w:rsid w:val="71502811"/>
    <w:rsid w:val="7156162D"/>
    <w:rsid w:val="715E4F2E"/>
    <w:rsid w:val="71836742"/>
    <w:rsid w:val="719A3A8C"/>
    <w:rsid w:val="71A52B5D"/>
    <w:rsid w:val="71BA0296"/>
    <w:rsid w:val="71BB647E"/>
    <w:rsid w:val="71D40DB8"/>
    <w:rsid w:val="72192C03"/>
    <w:rsid w:val="723D4B43"/>
    <w:rsid w:val="725327A6"/>
    <w:rsid w:val="725E2D0C"/>
    <w:rsid w:val="72844F5F"/>
    <w:rsid w:val="72B172DF"/>
    <w:rsid w:val="72C24452"/>
    <w:rsid w:val="72FA2A34"/>
    <w:rsid w:val="73010636"/>
    <w:rsid w:val="73133AF6"/>
    <w:rsid w:val="73312BAE"/>
    <w:rsid w:val="733F0D8F"/>
    <w:rsid w:val="733F48EB"/>
    <w:rsid w:val="736B518C"/>
    <w:rsid w:val="737443BB"/>
    <w:rsid w:val="73B84176"/>
    <w:rsid w:val="73C3345B"/>
    <w:rsid w:val="73C3376E"/>
    <w:rsid w:val="73C53042"/>
    <w:rsid w:val="73CF3EC1"/>
    <w:rsid w:val="74016013"/>
    <w:rsid w:val="741144D9"/>
    <w:rsid w:val="74123DAE"/>
    <w:rsid w:val="74341F76"/>
    <w:rsid w:val="743D3201"/>
    <w:rsid w:val="74503606"/>
    <w:rsid w:val="745A5E80"/>
    <w:rsid w:val="745D14CD"/>
    <w:rsid w:val="74732A9E"/>
    <w:rsid w:val="748527D2"/>
    <w:rsid w:val="74936C9D"/>
    <w:rsid w:val="74A25132"/>
    <w:rsid w:val="74D00DC8"/>
    <w:rsid w:val="74D177C5"/>
    <w:rsid w:val="74EE34B3"/>
    <w:rsid w:val="74F3598D"/>
    <w:rsid w:val="75502DDF"/>
    <w:rsid w:val="758030BA"/>
    <w:rsid w:val="758D5DE2"/>
    <w:rsid w:val="759727BC"/>
    <w:rsid w:val="75D457BF"/>
    <w:rsid w:val="75DA1EF7"/>
    <w:rsid w:val="75EA5667"/>
    <w:rsid w:val="760614C5"/>
    <w:rsid w:val="76232458"/>
    <w:rsid w:val="76261D92"/>
    <w:rsid w:val="76286848"/>
    <w:rsid w:val="766F54E7"/>
    <w:rsid w:val="769048FD"/>
    <w:rsid w:val="76960CC6"/>
    <w:rsid w:val="76B13D52"/>
    <w:rsid w:val="76C515AB"/>
    <w:rsid w:val="77103E01"/>
    <w:rsid w:val="772462D2"/>
    <w:rsid w:val="77434B0A"/>
    <w:rsid w:val="776E7F97"/>
    <w:rsid w:val="77A45665"/>
    <w:rsid w:val="77A92C7B"/>
    <w:rsid w:val="77AB69F3"/>
    <w:rsid w:val="77D54B30"/>
    <w:rsid w:val="77E43CB3"/>
    <w:rsid w:val="77F4039A"/>
    <w:rsid w:val="77F50D46"/>
    <w:rsid w:val="77F57C6E"/>
    <w:rsid w:val="784F55D0"/>
    <w:rsid w:val="78774B27"/>
    <w:rsid w:val="788829E3"/>
    <w:rsid w:val="78AF606F"/>
    <w:rsid w:val="78BD078C"/>
    <w:rsid w:val="78E55F35"/>
    <w:rsid w:val="794744F9"/>
    <w:rsid w:val="794E3ADA"/>
    <w:rsid w:val="79952518"/>
    <w:rsid w:val="79CD0628"/>
    <w:rsid w:val="79D216C3"/>
    <w:rsid w:val="79DA711C"/>
    <w:rsid w:val="79E93803"/>
    <w:rsid w:val="7A1268B5"/>
    <w:rsid w:val="7A17211E"/>
    <w:rsid w:val="7A342CD0"/>
    <w:rsid w:val="7A4078C7"/>
    <w:rsid w:val="7A4F7B0A"/>
    <w:rsid w:val="7A505630"/>
    <w:rsid w:val="7A7C01D3"/>
    <w:rsid w:val="7A84390D"/>
    <w:rsid w:val="7ACF47A6"/>
    <w:rsid w:val="7B022DCE"/>
    <w:rsid w:val="7B0A0786"/>
    <w:rsid w:val="7B0C1557"/>
    <w:rsid w:val="7B6C6499"/>
    <w:rsid w:val="7BC462D5"/>
    <w:rsid w:val="7BEF0575"/>
    <w:rsid w:val="7C0C579F"/>
    <w:rsid w:val="7C1728A9"/>
    <w:rsid w:val="7C2E19A1"/>
    <w:rsid w:val="7C484810"/>
    <w:rsid w:val="7C5036C5"/>
    <w:rsid w:val="7CA86B3C"/>
    <w:rsid w:val="7CB1685A"/>
    <w:rsid w:val="7CC115E3"/>
    <w:rsid w:val="7CCF6CE0"/>
    <w:rsid w:val="7CE87DA1"/>
    <w:rsid w:val="7CF36E72"/>
    <w:rsid w:val="7D060228"/>
    <w:rsid w:val="7D3905FD"/>
    <w:rsid w:val="7D766CDB"/>
    <w:rsid w:val="7D8A0E59"/>
    <w:rsid w:val="7DA63EE4"/>
    <w:rsid w:val="7DC41B68"/>
    <w:rsid w:val="7DDB3462"/>
    <w:rsid w:val="7DFC3B04"/>
    <w:rsid w:val="7E3C2153"/>
    <w:rsid w:val="7E473C89"/>
    <w:rsid w:val="7E52743B"/>
    <w:rsid w:val="7E77762F"/>
    <w:rsid w:val="7E9868CD"/>
    <w:rsid w:val="7EBF4B32"/>
    <w:rsid w:val="7EC565EC"/>
    <w:rsid w:val="7EE828EB"/>
    <w:rsid w:val="7F390D88"/>
    <w:rsid w:val="7FEE1B73"/>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sz w:val="24"/>
      <w:szCs w:val="22"/>
      <w:lang w:val="en-US" w:eastAsia="zh-CN" w:bidi="ar-SA"/>
    </w:rPr>
  </w:style>
  <w:style w:type="paragraph" w:styleId="3">
    <w:name w:val="heading 1"/>
    <w:basedOn w:val="1"/>
    <w:next w:val="1"/>
    <w:autoRedefine/>
    <w:qFormat/>
    <w:uiPriority w:val="9"/>
    <w:pPr>
      <w:widowControl/>
      <w:numPr>
        <w:ilvl w:val="0"/>
        <w:numId w:val="1"/>
      </w:numPr>
      <w:pBdr>
        <w:top w:val="none" w:color="4F81BD" w:sz="0" w:space="0"/>
        <w:left w:val="none" w:color="4F81BD" w:sz="0" w:space="0"/>
        <w:bottom w:val="none" w:color="4F81BD" w:sz="0" w:space="0"/>
        <w:right w:val="none" w:color="4F81BD" w:sz="0" w:space="0"/>
      </w:pBdr>
      <w:shd w:val="clear"/>
      <w:spacing w:after="240" w:line="360" w:lineRule="auto"/>
      <w:jc w:val="left"/>
      <w:outlineLvl w:val="0"/>
    </w:pPr>
    <w:rPr>
      <w:rFonts w:ascii="宋体" w:hAnsi="宋体" w:eastAsia="宋体" w:cs="宋体"/>
      <w:b/>
      <w:bCs/>
      <w:caps/>
      <w:color w:val="FFFFFF"/>
      <w:spacing w:val="17"/>
      <w:sz w:val="28"/>
      <w:szCs w:val="28"/>
      <w:lang w:bidi="en-US"/>
    </w:rPr>
  </w:style>
  <w:style w:type="paragraph" w:styleId="4">
    <w:name w:val="heading 2"/>
    <w:basedOn w:val="1"/>
    <w:next w:val="1"/>
    <w:autoRedefine/>
    <w:qFormat/>
    <w:uiPriority w:val="99"/>
    <w:pPr>
      <w:widowControl/>
      <w:numPr>
        <w:ilvl w:val="1"/>
        <w:numId w:val="1"/>
      </w:numPr>
      <w:pBdr>
        <w:top w:val="none" w:color="auto" w:sz="0" w:space="0"/>
        <w:left w:val="none" w:color="auto" w:sz="0" w:space="0"/>
        <w:bottom w:val="none" w:color="auto" w:sz="0" w:space="0"/>
        <w:right w:val="none" w:color="auto" w:sz="0" w:space="0"/>
      </w:pBdr>
      <w:shd w:val="clear"/>
      <w:spacing w:after="240" w:line="360" w:lineRule="auto"/>
      <w:jc w:val="left"/>
      <w:outlineLvl w:val="1"/>
    </w:pPr>
    <w:rPr>
      <w:rFonts w:eastAsia="宋体"/>
      <w:b/>
      <w:caps/>
      <w:spacing w:val="15"/>
      <w:szCs w:val="24"/>
      <w:lang w:bidi="en-US"/>
    </w:rPr>
  </w:style>
  <w:style w:type="paragraph" w:styleId="5">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customStyle="1" w:styleId="2">
    <w:name w:val="表格文字"/>
    <w:autoRedefine/>
    <w:qFormat/>
    <w:uiPriority w:val="0"/>
    <w:pPr>
      <w:widowControl w:val="0"/>
      <w:jc w:val="center"/>
      <w:textAlignment w:val="center"/>
    </w:pPr>
    <w:rPr>
      <w:rFonts w:ascii="Times New Roman" w:hAnsi="Times New Roman" w:eastAsia="宋体" w:cs="Times New Roman"/>
      <w:kern w:val="2"/>
      <w:sz w:val="21"/>
      <w:szCs w:val="21"/>
      <w:lang w:val="en-US" w:eastAsia="zh-CN" w:bidi="ar-SA"/>
    </w:rPr>
  </w:style>
  <w:style w:type="paragraph" w:styleId="6">
    <w:name w:val="Body Text"/>
    <w:basedOn w:val="1"/>
    <w:autoRedefine/>
    <w:qFormat/>
    <w:uiPriority w:val="0"/>
    <w:pPr>
      <w:spacing w:line="520" w:lineRule="exact"/>
    </w:pPr>
    <w:rPr>
      <w:rFonts w:ascii="Calibri" w:hAnsi="Calibri" w:eastAsia="宋体" w:cs="Times New Roman"/>
      <w:kern w:val="2"/>
      <w:szCs w:val="24"/>
    </w:rPr>
  </w:style>
  <w:style w:type="paragraph" w:styleId="7">
    <w:name w:val="toc 3"/>
    <w:basedOn w:val="1"/>
    <w:next w:val="1"/>
    <w:autoRedefine/>
    <w:unhideWhenUsed/>
    <w:qFormat/>
    <w:uiPriority w:val="39"/>
    <w:pPr>
      <w:ind w:left="420"/>
      <w:jc w:val="left"/>
    </w:pPr>
    <w:rPr>
      <w:iCs/>
      <w:sz w:val="20"/>
      <w:szCs w:val="20"/>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autoRedefine/>
    <w:qFormat/>
    <w:uiPriority w:val="0"/>
  </w:style>
  <w:style w:type="paragraph" w:styleId="11">
    <w:name w:val="toc 2"/>
    <w:basedOn w:val="1"/>
    <w:next w:val="1"/>
    <w:autoRedefine/>
    <w:qFormat/>
    <w:uiPriority w:val="39"/>
    <w:pPr>
      <w:widowControl/>
      <w:spacing w:line="276" w:lineRule="auto"/>
      <w:ind w:left="220"/>
      <w:jc w:val="left"/>
    </w:pPr>
    <w:rPr>
      <w:sz w:val="22"/>
    </w:rPr>
  </w:style>
  <w:style w:type="paragraph" w:styleId="12">
    <w:name w:val="Normal (Web)"/>
    <w:basedOn w:val="1"/>
    <w:autoRedefine/>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autoRedefine/>
    <w:qFormat/>
    <w:uiPriority w:val="0"/>
    <w:rPr>
      <w:color w:val="0000FF"/>
      <w:u w:val="single"/>
    </w:rPr>
  </w:style>
  <w:style w:type="paragraph" w:customStyle="1" w:styleId="17">
    <w:name w:val="Default"/>
    <w:autoRedefine/>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8">
    <w:name w:val="List Paragraph1"/>
    <w:basedOn w:val="1"/>
    <w:autoRedefine/>
    <w:qFormat/>
    <w:uiPriority w:val="99"/>
    <w:pPr>
      <w:ind w:firstLine="420" w:firstLineChars="200"/>
    </w:pPr>
    <w:rPr>
      <w:rFonts w:ascii="Times New Roman" w:hAnsi="Times New Roman" w:eastAsia="宋体" w:cs="Times New Roman"/>
      <w:szCs w:val="20"/>
    </w:rPr>
  </w:style>
  <w:style w:type="paragraph" w:customStyle="1" w:styleId="19">
    <w:name w:val="列出段落3"/>
    <w:basedOn w:val="1"/>
    <w:autoRedefine/>
    <w:qFormat/>
    <w:uiPriority w:val="34"/>
    <w:pPr>
      <w:ind w:firstLine="420"/>
    </w:pPr>
    <w:rPr>
      <w:rFonts w:ascii="Calibri" w:hAnsi="Calibri" w:eastAsia="宋体" w:cs="黑体"/>
    </w:rPr>
  </w:style>
  <w:style w:type="character" w:customStyle="1" w:styleId="20">
    <w:name w:val="font41"/>
    <w:basedOn w:val="15"/>
    <w:autoRedefine/>
    <w:qFormat/>
    <w:uiPriority w:val="0"/>
    <w:rPr>
      <w:rFonts w:hint="eastAsia" w:ascii="宋体" w:hAnsi="宋体" w:eastAsia="宋体" w:cs="宋体"/>
      <w:color w:val="000000"/>
      <w:sz w:val="21"/>
      <w:szCs w:val="21"/>
      <w:u w:val="none"/>
    </w:rPr>
  </w:style>
  <w:style w:type="paragraph" w:styleId="21">
    <w:name w:val="List Paragraph"/>
    <w:basedOn w:val="1"/>
    <w:autoRedefine/>
    <w:qFormat/>
    <w:uiPriority w:val="34"/>
    <w:pPr>
      <w:ind w:firstLine="420" w:firstLineChars="200"/>
    </w:pPr>
  </w:style>
  <w:style w:type="paragraph" w:customStyle="1" w:styleId="22">
    <w:name w:val="paratext"/>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
    <w:name w:val="图表内容"/>
    <w:basedOn w:val="1"/>
    <w:autoRedefine/>
    <w:qFormat/>
    <w:uiPriority w:val="0"/>
    <w:pPr>
      <w:widowControl/>
      <w:jc w:val="center"/>
    </w:pPr>
    <w:rPr>
      <w:rFonts w:ascii="Times New Roman" w:hAnsi="Times New Roman" w:eastAsia="宋体" w:cs="Times New Roman"/>
      <w:kern w:val="0"/>
      <w:sz w:val="18"/>
      <w:szCs w:val="20"/>
    </w:rPr>
  </w:style>
  <w:style w:type="paragraph" w:customStyle="1" w:styleId="24">
    <w:name w:val="WPSOffice手动目录 1"/>
    <w:autoRedefine/>
    <w:qFormat/>
    <w:uiPriority w:val="0"/>
    <w:pPr>
      <w:ind w:leftChars="0"/>
    </w:pPr>
    <w:rPr>
      <w:rFonts w:ascii="Times New Roman" w:hAnsi="Times New Roman" w:eastAsia="宋体" w:cs="Times New Roman"/>
      <w:sz w:val="20"/>
      <w:szCs w:val="20"/>
    </w:rPr>
  </w:style>
  <w:style w:type="paragraph" w:customStyle="1" w:styleId="25">
    <w:name w:val="WPSOffice手动目录 2"/>
    <w:autoRedefine/>
    <w:qFormat/>
    <w:uiPriority w:val="0"/>
    <w:pPr>
      <w:ind w:leftChars="200"/>
    </w:pPr>
    <w:rPr>
      <w:rFonts w:ascii="Times New Roman" w:hAnsi="Times New Roman" w:eastAsia="宋体" w:cs="Times New Roman"/>
      <w:sz w:val="20"/>
      <w:szCs w:val="20"/>
    </w:rPr>
  </w:style>
  <w:style w:type="paragraph" w:customStyle="1" w:styleId="26">
    <w:name w:val="表格"/>
    <w:basedOn w:val="1"/>
    <w:autoRedefine/>
    <w:qFormat/>
    <w:uiPriority w:val="0"/>
    <w:pPr>
      <w:spacing w:line="320" w:lineRule="exact"/>
      <w:ind w:firstLine="0" w:firstLineChars="0"/>
      <w:jc w:val="center"/>
    </w:pPr>
    <w:rPr>
      <w:sz w:val="21"/>
    </w:rPr>
  </w:style>
  <w:style w:type="paragraph" w:customStyle="1" w:styleId="27">
    <w:name w:val="图表内容_0"/>
    <w:basedOn w:val="28"/>
    <w:autoRedefine/>
    <w:qFormat/>
    <w:uiPriority w:val="99"/>
    <w:pPr>
      <w:widowControl/>
      <w:ind w:firstLine="0" w:firstLineChars="0"/>
      <w:jc w:val="center"/>
    </w:pPr>
    <w:rPr>
      <w:kern w:val="0"/>
      <w:sz w:val="20"/>
      <w:szCs w:val="20"/>
    </w:rPr>
  </w:style>
  <w:style w:type="paragraph" w:customStyle="1" w:styleId="28">
    <w:name w:val="Normal_0"/>
    <w:autoRedefine/>
    <w:qFormat/>
    <w:uiPriority w:val="0"/>
    <w:pPr>
      <w:widowControl w:val="0"/>
      <w:ind w:firstLine="200" w:firstLineChars="200"/>
      <w:jc w:val="both"/>
    </w:pPr>
    <w:rPr>
      <w:rFonts w:ascii="Times New Roman" w:hAnsi="Times New Roman" w:eastAsia="宋体" w:cs="Times New Roman"/>
      <w:kern w:val="2"/>
      <w:sz w:val="21"/>
      <w:szCs w:val="21"/>
      <w:lang w:val="en-US" w:eastAsia="zh-CN" w:bidi="ar-SA"/>
    </w:rPr>
  </w:style>
  <w:style w:type="paragraph" w:customStyle="1" w:styleId="29">
    <w:name w:val="Normal_1"/>
    <w:autoRedefine/>
    <w:qFormat/>
    <w:uiPriority w:val="0"/>
    <w:pPr>
      <w:widowControl w:val="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jpeg"/><Relationship Id="rId13" Type="http://schemas.openxmlformats.org/officeDocument/2006/relationships/image" Target="media/image2.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11745</Words>
  <Characters>14437</Characters>
  <Lines>0</Lines>
  <Paragraphs>0</Paragraphs>
  <TotalTime>0</TotalTime>
  <ScaleCrop>false</ScaleCrop>
  <LinksUpToDate>false</LinksUpToDate>
  <CharactersWithSpaces>15189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2023-01-30T01:34:00Z</dcterms:created>
  <dc:creator>Administrator</dc:creator>
  <cp:lastModifiedBy>白天不懂夜的黑</cp:lastModifiedBy>
  <cp:lastPrinted>2023-06-06T00:53:00Z</cp:lastPrinted>
  <dcterms:modified xsi:type="dcterms:W3CDTF">2024-09-30T05:07:16Z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644BBFF616A744E2B4A3B339CE019973_13</vt:lpwstr>
  </property>
</Properties>
</file>