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-160655</wp:posOffset>
            </wp:positionV>
            <wp:extent cx="431800" cy="431800"/>
            <wp:effectExtent l="0" t="0" r="6350" b="6350"/>
            <wp:wrapSquare wrapText="bothSides"/>
            <wp:docPr id="9" name="图片 9" descr="JCYW202410260379"/>
            <wp:cNvGraphicFramePr/>
            <a:graphic xmlns:a="http://schemas.openxmlformats.org/drawingml/2006/main">
              <a:graphicData uri="http://schemas.openxmlformats.org/drawingml/2006/picture">
                <pic:pic xmlns:pic="http://schemas.openxmlformats.org/drawingml/2006/picture">
                  <pic:nvPicPr>
                    <pic:cNvPr id="9" name="图片 9" descr="JCYW202410260379"/>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3772"/>
      <w:bookmarkStart w:id="1" w:name="_Toc26466"/>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2024年第四季度挥发性有机物检测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山东华油万达化学有限公司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山东省东营市垦利区胜坨镇政府驻地</w:t>
      </w:r>
    </w:p>
    <w:p w14:paraId="542FCD72">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2024年11月05日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2024年11月14日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31107"/>
      <w:bookmarkStart w:id="4" w:name="_Toc12368"/>
      <w:bookmarkStart w:id="5" w:name="_Toc14839"/>
      <w:bookmarkStart w:id="6" w:name="_Toc1323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23BDF06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宋体" w:hAnsi="宋体" w:eastAsia="宋体" w:cs="宋体"/>
              <w:sz w:val="48"/>
              <w:szCs w:val="48"/>
            </w:rPr>
          </w:pPr>
          <w:r>
            <w:rPr>
              <w:rFonts w:hint="eastAsia" w:ascii="宋体" w:hAnsi="宋体" w:eastAsia="宋体" w:cs="宋体"/>
              <w:sz w:val="24"/>
              <w:szCs w:val="24"/>
            </w:rPr>
            <w:t>目录</w:t>
          </w:r>
        </w:p>
        <w:p w14:paraId="065BFCDC">
          <w:pPr>
            <w:pStyle w:val="9"/>
            <w:tabs>
              <w:tab w:val="right" w:leader="dot" w:pos="9638"/>
            </w:tabs>
            <w:rPr>
              <w:rFonts w:hint="eastAsia" w:ascii="宋体" w:hAnsi="宋体" w:eastAsia="宋体" w:cs="宋体"/>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_Toc3825 </w:instrText>
          </w:r>
          <w:r>
            <w:rPr>
              <w:rFonts w:hint="eastAsia" w:ascii="宋体" w:hAnsi="宋体" w:eastAsia="宋体" w:cs="宋体"/>
              <w:szCs w:val="28"/>
              <w:lang w:val="en-US" w:eastAsia="zh-CN"/>
            </w:rPr>
            <w:fldChar w:fldCharType="separate"/>
          </w:r>
          <w:r>
            <w:rPr>
              <w:rFonts w:hint="eastAsia" w:ascii="宋体" w:hAnsi="宋体" w:eastAsia="宋体" w:cs="宋体"/>
              <w:szCs w:val="32"/>
            </w:rPr>
            <w:t>说             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_Toc3825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280414E0">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_Toc10787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资质证书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_Toc10787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57467F1E">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_Toc26860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1. 挥发性有机物（VOC</w:t>
          </w:r>
          <w:r>
            <w:rPr>
              <w:rFonts w:hint="eastAsia" w:ascii="宋体" w:hAnsi="宋体" w:eastAsia="宋体" w:cs="宋体"/>
              <w:szCs w:val="24"/>
              <w:lang w:val="en-US" w:eastAsia="zh-CN"/>
            </w:rPr>
            <w:t>s</w:t>
          </w:r>
          <w:r>
            <w:rPr>
              <w:rFonts w:hint="eastAsia" w:ascii="宋体" w:hAnsi="宋体" w:eastAsia="宋体" w:cs="宋体"/>
              <w:lang w:val="en-US" w:eastAsia="zh-CN"/>
            </w:rPr>
            <w:t>）检测结果报告单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_Toc26860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0025394E">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_Toc28902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2. 挥发性有机物（VOC</w:t>
          </w:r>
          <w:r>
            <w:rPr>
              <w:rFonts w:hint="eastAsia" w:ascii="宋体" w:hAnsi="宋体" w:eastAsia="宋体" w:cs="宋体"/>
              <w:szCs w:val="21"/>
            </w:rPr>
            <w:t>s</w:t>
          </w:r>
          <w:r>
            <w:rPr>
              <w:rFonts w:hint="eastAsia" w:ascii="宋体" w:hAnsi="宋体" w:eastAsia="宋体" w:cs="宋体"/>
              <w:lang w:val="en-US" w:eastAsia="zh-CN"/>
            </w:rPr>
            <w:t>）检测报告表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_Toc28902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2126DCDC">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_Toc27564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3. 建档密封点与检测密封点情况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_Toc27564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4E6766DA">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_Toc25647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4. 装置密封点类型统计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_Toc25647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7C1FED11">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_Toc7510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5. 检测现场条件记录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_Toc7510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1420DB34">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_Toc12867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6. 仪器校准记录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_Toc12867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74FD9DCF">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_Toc30982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7. 检测记录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_Toc30982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307C9118">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_Toc14 </w:instrText>
          </w:r>
          <w:r>
            <w:rPr>
              <w:rFonts w:hint="eastAsia" w:ascii="宋体" w:hAnsi="宋体" w:eastAsia="宋体" w:cs="宋体"/>
              <w:szCs w:val="28"/>
              <w:lang w:val="en-US" w:eastAsia="zh-CN"/>
            </w:rPr>
            <w:fldChar w:fldCharType="separate"/>
          </w:r>
          <w:r>
            <w:rPr>
              <w:rFonts w:hint="eastAsia" w:ascii="宋体" w:hAnsi="宋体" w:eastAsia="宋体" w:cs="宋体"/>
              <w:lang w:val="en-US" w:eastAsia="zh-CN"/>
            </w:rPr>
            <w:t>8. 仪器及标准物质认定证书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63B45FDE">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_Toc25216 </w:instrText>
          </w:r>
          <w:r>
            <w:rPr>
              <w:rFonts w:hint="eastAsia" w:ascii="宋体" w:hAnsi="宋体" w:eastAsia="宋体" w:cs="宋体"/>
              <w:szCs w:val="28"/>
              <w:lang w:val="en-US" w:eastAsia="zh-CN"/>
            </w:rPr>
            <w:fldChar w:fldCharType="separate"/>
          </w:r>
          <w:r>
            <w:rPr>
              <w:rFonts w:hint="eastAsia" w:ascii="宋体" w:hAnsi="宋体" w:eastAsia="宋体" w:cs="宋体"/>
              <w:szCs w:val="28"/>
              <w:lang w:val="en-US" w:eastAsia="zh-CN"/>
            </w:rPr>
            <w:t>9. 现场检测照片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_Toc25216 \h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6DC96648">
          <w:pPr>
            <w:pStyle w:val="9"/>
            <w:tabs>
              <w:tab w:val="right" w:leader="dot" w:pos="9638"/>
            </w:tabs>
            <w:rPr>
              <w:rFonts w:hint="eastAsia" w:ascii="宋体" w:hAnsi="宋体" w:eastAsia="宋体" w:cs="宋体"/>
            </w:rPr>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_Toc29205 </w:instrText>
          </w:r>
          <w:r>
            <w:rPr>
              <w:rFonts w:hint="eastAsia" w:ascii="宋体" w:hAnsi="宋体" w:eastAsia="宋体" w:cs="宋体"/>
              <w:szCs w:val="28"/>
              <w:lang w:val="en-US" w:eastAsia="zh-CN"/>
            </w:rPr>
            <w:fldChar w:fldCharType="separate"/>
          </w:r>
          <w:r>
            <w:rPr>
              <w:rFonts w:hint="eastAsia" w:ascii="宋体" w:hAnsi="宋体" w:eastAsia="宋体" w:cs="宋体"/>
              <w:szCs w:val="28"/>
              <w:lang w:val="en-US" w:eastAsia="zh-CN"/>
            </w:rPr>
            <w:t>10.质量保证和质量控制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_Toc29205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宋体" w:hAnsi="宋体" w:eastAsia="宋体" w:cs="宋体"/>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bookmarkStart w:id="53" w:name="_GoBack"/>
      <w:bookmarkEnd w:id="53"/>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1D8D1C71">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3825"/>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00315161">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10787"/>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4C25B0B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5607"/>
      <w:bookmarkStart w:id="13" w:name="_Toc26860"/>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山东华油万达化学有限公司2024年第四季度挥发性有机物检测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山东省东营市垦利区胜坨镇政府驻地</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2024年11月05日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2024年11月05日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本轮项目检测：受控密封点位305个，实际检测密封点位305个，不可达密封点位0个，发现泄漏密封点位1个，已修复合格泄漏点位1个，泄漏率为:0.33%。</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李浩男、许明星、饶子洋</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22899"/>
      <w:bookmarkStart w:id="16" w:name="_Toc15413"/>
      <w:bookmarkStart w:id="17" w:name="_Toc14682"/>
      <w:bookmarkStart w:id="18" w:name="_Toc25542"/>
      <w:bookmarkStart w:id="19" w:name="_Toc2890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33"/>
        <w:gridCol w:w="1882"/>
        <w:gridCol w:w="1115"/>
        <w:gridCol w:w="1267"/>
        <w:gridCol w:w="1165"/>
        <w:gridCol w:w="861"/>
        <w:gridCol w:w="924"/>
        <w:gridCol w:w="1169"/>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6"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3"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7"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9"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89"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882" w:type="dxa"/>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1117" w:type="dxa"/>
            <w:noWrap w:val="0"/>
            <w:vAlign w:val="center"/>
          </w:tcPr>
          <w:p w14:paraId="76AEF6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143</w:t>
            </w:r>
          </w:p>
        </w:tc>
        <w:tc>
          <w:tcPr>
            <w:tcW w:w="1269" w:type="dxa"/>
            <w:noWrap w:val="0"/>
            <w:vAlign w:val="center"/>
          </w:tcPr>
          <w:p w14:paraId="7B21C2ED">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143</w:t>
            </w:r>
          </w:p>
        </w:tc>
        <w:tc>
          <w:tcPr>
            <w:tcW w:w="1165" w:type="dxa"/>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6" w:type="dxa"/>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61" w:type="dxa"/>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1882" w:type="dxa"/>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1117" w:type="dxa"/>
            <w:noWrap w:val="0"/>
            <w:vAlign w:val="center"/>
          </w:tcPr>
          <w:p w14:paraId="369BC2A1">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162</w:t>
            </w:r>
          </w:p>
        </w:tc>
        <w:tc>
          <w:tcPr>
            <w:tcW w:w="1269" w:type="dxa"/>
            <w:noWrap w:val="0"/>
            <w:vAlign w:val="center"/>
          </w:tcPr>
          <w:p w14:paraId="2E815815">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162</w:t>
            </w:r>
          </w:p>
        </w:tc>
        <w:tc>
          <w:tcPr>
            <w:tcW w:w="1165" w:type="dxa"/>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926" w:type="dxa"/>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1161" w:type="dxa"/>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66" w:type="pct"/>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305</w:t>
            </w:r>
          </w:p>
        </w:tc>
        <w:tc>
          <w:tcPr>
            <w:tcW w:w="1267" w:type="dxa"/>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305</w:t>
            </w:r>
          </w:p>
        </w:tc>
        <w:tc>
          <w:tcPr>
            <w:tcW w:w="591" w:type="pct"/>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437"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469" w:type="pct"/>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589" w:type="pct"/>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山东华油万达化学有限公司泄漏检测项目，依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305</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密封点305</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6DFF3115">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264"/>
      <w:bookmarkStart w:id="21" w:name="_Toc20325"/>
      <w:bookmarkStart w:id="22" w:name="_Toc25944"/>
      <w:bookmarkStart w:id="23" w:name="_Toc18722"/>
      <w:bookmarkStart w:id="24" w:name="_Toc23582"/>
      <w:bookmarkStart w:id="25" w:name="_Toc16445"/>
      <w:bookmarkStart w:id="26" w:name="_Toc27564"/>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2200" w:type="dxa"/>
            <w:tcBorders>
              <w:tl2br w:val="nil"/>
              <w:tr2bl w:val="nil"/>
            </w:tcBorders>
            <w:shd w:val="clear" w:color="auto" w:fill="auto"/>
            <w:tcMar>
              <w:top w:w="15" w:type="dxa"/>
              <w:left w:w="15" w:type="dxa"/>
              <w:right w:w="15" w:type="dxa"/>
            </w:tcMar>
            <w:vAlign w:val="center"/>
          </w:tcPr>
          <w:p w14:paraId="3E7EF516">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143</w:t>
            </w:r>
          </w:p>
        </w:tc>
        <w:tc>
          <w:tcPr>
            <w:tcW w:w="1988" w:type="dxa"/>
            <w:tcBorders>
              <w:tl2br w:val="nil"/>
              <w:tr2bl w:val="nil"/>
            </w:tcBorders>
            <w:shd w:val="clear" w:color="auto" w:fill="auto"/>
            <w:tcMar>
              <w:top w:w="15" w:type="dxa"/>
              <w:left w:w="15" w:type="dxa"/>
              <w:right w:w="15" w:type="dxa"/>
            </w:tcMar>
            <w:vAlign w:val="center"/>
          </w:tcPr>
          <w:p w14:paraId="15A01E7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143</w:t>
            </w:r>
          </w:p>
        </w:tc>
        <w:tc>
          <w:tcPr>
            <w:tcW w:w="2487" w:type="dxa"/>
            <w:tcBorders>
              <w:tl2br w:val="nil"/>
              <w:tr2bl w:val="nil"/>
            </w:tcBorders>
            <w:shd w:val="clear" w:color="auto" w:fill="auto"/>
            <w:tcMar>
              <w:top w:w="15" w:type="dxa"/>
              <w:left w:w="15" w:type="dxa"/>
              <w:right w:w="15" w:type="dxa"/>
            </w:tcMar>
            <w:vAlign w:val="center"/>
          </w:tcPr>
          <w:p w14:paraId="66DA468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2200" w:type="dxa"/>
            <w:tcBorders>
              <w:tl2br w:val="nil"/>
              <w:tr2bl w:val="nil"/>
            </w:tcBorders>
            <w:shd w:val="clear" w:color="auto" w:fill="auto"/>
            <w:tcMar>
              <w:top w:w="15" w:type="dxa"/>
              <w:left w:w="15" w:type="dxa"/>
              <w:right w:w="15" w:type="dxa"/>
            </w:tcMar>
            <w:vAlign w:val="center"/>
          </w:tcPr>
          <w:p w14:paraId="59255C70">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162</w:t>
            </w:r>
          </w:p>
        </w:tc>
        <w:tc>
          <w:tcPr>
            <w:tcW w:w="1988" w:type="dxa"/>
            <w:tcBorders>
              <w:tl2br w:val="nil"/>
              <w:tr2bl w:val="nil"/>
            </w:tcBorders>
            <w:shd w:val="clear" w:color="auto" w:fill="auto"/>
            <w:tcMar>
              <w:top w:w="15" w:type="dxa"/>
              <w:left w:w="15" w:type="dxa"/>
              <w:right w:w="15" w:type="dxa"/>
            </w:tcMar>
            <w:vAlign w:val="center"/>
          </w:tcPr>
          <w:p w14:paraId="7C261324">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162</w:t>
            </w:r>
          </w:p>
        </w:tc>
        <w:tc>
          <w:tcPr>
            <w:tcW w:w="2487" w:type="dxa"/>
            <w:tcBorders>
              <w:tl2br w:val="nil"/>
              <w:tr2bl w:val="nil"/>
            </w:tcBorders>
            <w:shd w:val="clear" w:color="auto" w:fill="auto"/>
            <w:tcMar>
              <w:top w:w="15" w:type="dxa"/>
              <w:left w:w="15" w:type="dxa"/>
              <w:right w:w="15" w:type="dxa"/>
            </w:tcMar>
            <w:vAlign w:val="center"/>
          </w:tcPr>
          <w:p w14:paraId="67CF8C6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305</w:t>
            </w:r>
          </w:p>
        </w:tc>
        <w:tc>
          <w:tcPr>
            <w:tcW w:w="1988" w:type="dxa"/>
            <w:tcBorders>
              <w:tl2br w:val="nil"/>
              <w:tr2bl w:val="nil"/>
            </w:tcBorders>
            <w:shd w:val="clear" w:color="auto" w:fill="auto"/>
            <w:tcMar>
              <w:top w:w="15" w:type="dxa"/>
              <w:left w:w="15" w:type="dxa"/>
              <w:right w:w="15" w:type="dxa"/>
            </w:tcMar>
            <w:vAlign w:val="center"/>
          </w:tcPr>
          <w:p w14:paraId="4CDA6080">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305</w:t>
            </w:r>
          </w:p>
        </w:tc>
        <w:tc>
          <w:tcPr>
            <w:tcW w:w="2487" w:type="dxa"/>
            <w:tcBorders>
              <w:tl2br w:val="nil"/>
              <w:tr2bl w:val="nil"/>
            </w:tcBorders>
            <w:shd w:val="clear" w:color="auto" w:fill="auto"/>
            <w:tcMar>
              <w:top w:w="15" w:type="dxa"/>
              <w:left w:w="15" w:type="dxa"/>
              <w:right w:w="15" w:type="dxa"/>
            </w:tcMar>
            <w:vAlign w:val="center"/>
          </w:tcPr>
          <w:p w14:paraId="5001257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bl>
    <w:p w14:paraId="7A9D82A5">
      <w:pPr>
        <w:rPr>
          <w:rFonts w:hint="eastAsia" w:asciiTheme="minorEastAsia" w:hAnsiTheme="minorEastAsia" w:eastAsiaTheme="minorEastAsia" w:cstheme="minorEastAsia"/>
          <w:color w:val="auto"/>
          <w:sz w:val="21"/>
          <w:szCs w:val="21"/>
          <w:lang w:val="en-US" w:eastAsia="zh-CN"/>
        </w:rPr>
      </w:pPr>
      <w:bookmarkStart w:id="27" w:name="_Toc16471"/>
      <w:bookmarkStart w:id="28" w:name="_Toc32444"/>
      <w:bookmarkStart w:id="29" w:name="_Toc20586"/>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25647"/>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56640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2466D8F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3947A4B6">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0F32C59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2815A09A">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5F0577D9">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167BB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A0655F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5E3D1BB7">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11BD29B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A121DA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59C113B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c>
          <w:tcPr>
            <w:tcW w:w="1466" w:type="dxa"/>
            <w:tcBorders>
              <w:tl2br w:val="nil"/>
              <w:tr2bl w:val="nil"/>
            </w:tcBorders>
            <w:shd w:val="clear" w:color="auto" w:fill="auto"/>
            <w:vAlign w:val="center"/>
          </w:tcPr>
          <w:p w14:paraId="2E5DD5C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2D70D5B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r>
      <w:tr w14:paraId="52CFA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806BC9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4087E95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11EFAD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EC2D49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466" w:type="dxa"/>
            <w:tcBorders>
              <w:tl2br w:val="nil"/>
              <w:tr2bl w:val="nil"/>
            </w:tcBorders>
            <w:shd w:val="clear" w:color="auto" w:fill="auto"/>
            <w:vAlign w:val="center"/>
          </w:tcPr>
          <w:p w14:paraId="3EF35F2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08CA1BC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r>
      <w:tr w14:paraId="3BBFB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5B9611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6BA8AB73">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B9ECA0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2415931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67A812D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4DD03E9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3E478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5F398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FC6A60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E3BD2E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051DCA8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4B685765">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4E657C8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634CC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CFA3C0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668750B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DD2AF65">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6F9E7CF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17759E4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1205DAA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52CDB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69EEFF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31BAAD6">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84ECE7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365762F7">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366512F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0BC27B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34D26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2437C6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68719B6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2093DCD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470C7B3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164F9EB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25A61E2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0F08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4FC66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107" w:type="dxa"/>
            <w:vMerge w:val="continue"/>
            <w:tcBorders>
              <w:tl2br w:val="nil"/>
              <w:tr2bl w:val="nil"/>
            </w:tcBorders>
            <w:shd w:val="clear" w:color="auto" w:fill="auto"/>
            <w:noWrap/>
            <w:vAlign w:val="center"/>
          </w:tcPr>
          <w:p w14:paraId="4053092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388ADAD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合计</w:t>
            </w:r>
          </w:p>
        </w:tc>
        <w:tc>
          <w:tcPr>
            <w:tcW w:w="2052" w:type="dxa"/>
            <w:tcBorders>
              <w:tl2br w:val="nil"/>
              <w:tr2bl w:val="nil"/>
            </w:tcBorders>
            <w:shd w:val="clear" w:color="auto" w:fill="auto"/>
            <w:noWrap/>
            <w:vAlign w:val="center"/>
          </w:tcPr>
          <w:p w14:paraId="7DA19CE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86</w:t>
            </w:r>
          </w:p>
        </w:tc>
        <w:tc>
          <w:tcPr>
            <w:tcW w:w="1466" w:type="dxa"/>
            <w:tcBorders>
              <w:tl2br w:val="nil"/>
              <w:tr2bl w:val="nil"/>
            </w:tcBorders>
            <w:shd w:val="clear" w:color="auto" w:fill="auto"/>
            <w:noWrap/>
            <w:vAlign w:val="center"/>
          </w:tcPr>
          <w:p w14:paraId="39ACFF7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14:paraId="7EAA32F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86</w:t>
            </w:r>
          </w:p>
        </w:tc>
      </w:tr>
      <w:tr w14:paraId="6EFA7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07FCF28">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9</w:t>
            </w:r>
          </w:p>
        </w:tc>
        <w:tc>
          <w:tcPr>
            <w:tcW w:w="1107" w:type="dxa"/>
            <w:vMerge w:val="restart"/>
            <w:tcBorders>
              <w:tl2br w:val="nil"/>
              <w:tr2bl w:val="nil"/>
            </w:tcBorders>
            <w:shd w:val="clear" w:color="auto" w:fill="auto"/>
            <w:noWrap/>
            <w:vAlign w:val="center"/>
          </w:tcPr>
          <w:p w14:paraId="608D730E">
            <w:pPr>
              <w:tabs>
                <w:tab w:val="left" w:pos="409"/>
              </w:tabs>
              <w:jc w:val="left"/>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静密封点</w:t>
            </w:r>
          </w:p>
        </w:tc>
        <w:tc>
          <w:tcPr>
            <w:tcW w:w="2350" w:type="dxa"/>
            <w:tcBorders>
              <w:tl2br w:val="nil"/>
              <w:tr2bl w:val="nil"/>
            </w:tcBorders>
            <w:shd w:val="clear" w:color="auto" w:fill="auto"/>
            <w:noWrap/>
            <w:vAlign w:val="center"/>
          </w:tcPr>
          <w:p w14:paraId="64502ED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法兰(F)</w:t>
            </w:r>
          </w:p>
        </w:tc>
        <w:tc>
          <w:tcPr>
            <w:tcW w:w="2052" w:type="dxa"/>
            <w:tcBorders>
              <w:tl2br w:val="nil"/>
              <w:tr2bl w:val="nil"/>
            </w:tcBorders>
            <w:shd w:val="clear" w:color="auto" w:fill="auto"/>
            <w:noWrap/>
            <w:vAlign w:val="center"/>
          </w:tcPr>
          <w:p w14:paraId="2E1FF959">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199</w:t>
            </w:r>
          </w:p>
        </w:tc>
        <w:tc>
          <w:tcPr>
            <w:tcW w:w="1466" w:type="dxa"/>
            <w:tcBorders>
              <w:tl2br w:val="nil"/>
              <w:tr2bl w:val="nil"/>
            </w:tcBorders>
            <w:shd w:val="clear" w:color="auto" w:fill="auto"/>
            <w:noWrap/>
            <w:vAlign w:val="center"/>
          </w:tcPr>
          <w:p w14:paraId="67A1B767">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670FEFBC">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199</w:t>
            </w:r>
          </w:p>
        </w:tc>
      </w:tr>
      <w:tr w14:paraId="3C4BF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4F0F2E9">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10</w:t>
            </w:r>
          </w:p>
        </w:tc>
        <w:tc>
          <w:tcPr>
            <w:tcW w:w="1107" w:type="dxa"/>
            <w:vMerge w:val="continue"/>
            <w:tcBorders>
              <w:tl2br w:val="nil"/>
              <w:tr2bl w:val="nil"/>
            </w:tcBorders>
            <w:shd w:val="clear" w:color="auto" w:fill="auto"/>
            <w:noWrap/>
            <w:vAlign w:val="center"/>
          </w:tcPr>
          <w:p w14:paraId="428E0F5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735BD99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连接件(C)</w:t>
            </w:r>
          </w:p>
        </w:tc>
        <w:tc>
          <w:tcPr>
            <w:tcW w:w="2052" w:type="dxa"/>
            <w:tcBorders>
              <w:tl2br w:val="nil"/>
              <w:tr2bl w:val="nil"/>
            </w:tcBorders>
            <w:shd w:val="clear" w:color="auto" w:fill="auto"/>
            <w:noWrap/>
            <w:vAlign w:val="center"/>
          </w:tcPr>
          <w:p w14:paraId="18BDBFA8">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20</w:t>
            </w:r>
          </w:p>
        </w:tc>
        <w:tc>
          <w:tcPr>
            <w:tcW w:w="1466" w:type="dxa"/>
            <w:tcBorders>
              <w:tl2br w:val="nil"/>
              <w:tr2bl w:val="nil"/>
            </w:tcBorders>
            <w:shd w:val="clear" w:color="auto" w:fill="auto"/>
            <w:noWrap/>
            <w:vAlign w:val="center"/>
          </w:tcPr>
          <w:p w14:paraId="55976E6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4DA95B5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20</w:t>
            </w:r>
          </w:p>
        </w:tc>
      </w:tr>
      <w:tr w14:paraId="2FEDF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D50C276">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11</w:t>
            </w:r>
          </w:p>
        </w:tc>
        <w:tc>
          <w:tcPr>
            <w:tcW w:w="1107" w:type="dxa"/>
            <w:vMerge w:val="continue"/>
            <w:tcBorders>
              <w:tl2br w:val="nil"/>
              <w:tr2bl w:val="nil"/>
            </w:tcBorders>
            <w:shd w:val="clear" w:color="auto" w:fill="auto"/>
            <w:noWrap/>
            <w:vAlign w:val="center"/>
          </w:tcPr>
          <w:p w14:paraId="60D289F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28CC70E5">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w:t>
            </w:r>
          </w:p>
        </w:tc>
        <w:tc>
          <w:tcPr>
            <w:tcW w:w="2052" w:type="dxa"/>
            <w:tcBorders>
              <w:tl2br w:val="nil"/>
              <w:tr2bl w:val="nil"/>
            </w:tcBorders>
            <w:shd w:val="clear" w:color="auto" w:fill="auto"/>
            <w:noWrap/>
            <w:vAlign w:val="center"/>
          </w:tcPr>
          <w:p w14:paraId="5E416EDE">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219</w:t>
            </w:r>
          </w:p>
        </w:tc>
        <w:tc>
          <w:tcPr>
            <w:tcW w:w="1466" w:type="dxa"/>
            <w:tcBorders>
              <w:tl2br w:val="nil"/>
              <w:tr2bl w:val="nil"/>
            </w:tcBorders>
            <w:shd w:val="clear" w:color="auto" w:fill="auto"/>
            <w:noWrap/>
            <w:vAlign w:val="center"/>
          </w:tcPr>
          <w:p w14:paraId="287120BB">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042752BC">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219</w:t>
            </w:r>
          </w:p>
        </w:tc>
      </w:tr>
      <w:tr w14:paraId="38000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8755CC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3457" w:type="dxa"/>
            <w:gridSpan w:val="2"/>
            <w:tcBorders>
              <w:tl2br w:val="nil"/>
              <w:tr2bl w:val="nil"/>
            </w:tcBorders>
            <w:shd w:val="clear" w:color="auto" w:fill="auto"/>
            <w:noWrap/>
            <w:vAlign w:val="center"/>
          </w:tcPr>
          <w:p w14:paraId="169E4C0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F828153">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305</w:t>
            </w:r>
          </w:p>
        </w:tc>
        <w:tc>
          <w:tcPr>
            <w:tcW w:w="1466" w:type="dxa"/>
            <w:tcBorders>
              <w:tl2br w:val="nil"/>
              <w:tr2bl w:val="nil"/>
            </w:tcBorders>
            <w:shd w:val="clear" w:color="auto" w:fill="auto"/>
            <w:noWrap/>
            <w:vAlign w:val="center"/>
          </w:tcPr>
          <w:p w14:paraId="7B0F8D5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27364956">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305</w:t>
            </w:r>
          </w:p>
        </w:tc>
      </w:tr>
    </w:tbl>
    <w:p w14:paraId="1F9FC3B3">
      <w:pPr>
        <w:jc w:val="center"/>
        <w:rPr>
          <w:rFonts w:hint="eastAsia" w:asciiTheme="minorEastAsia" w:hAnsiTheme="minorEastAsia" w:eastAsiaTheme="minorEastAsia" w:cstheme="minorEastAsia"/>
          <w:lang w:val="en-US" w:eastAsia="zh-CN"/>
        </w:rPr>
      </w:pPr>
    </w:p>
    <w:p w14:paraId="39B7FAE6">
      <w:pPr>
        <w:pStyle w:val="2"/>
        <w:rPr>
          <w:rFonts w:hint="eastAsia" w:asciiTheme="minorEastAsia" w:hAnsiTheme="minorEastAsia" w:eastAsiaTheme="minorEastAsia" w:cstheme="minorEastAsia"/>
          <w:lang w:val="en-US" w:eastAsia="zh-CN"/>
        </w:rPr>
      </w:pPr>
    </w:p>
    <w:p w14:paraId="3ADE8107">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2364"/>
      <w:bookmarkStart w:id="33" w:name="_Toc14952"/>
      <w:bookmarkStart w:id="34" w:name="_Toc10761"/>
      <w:bookmarkStart w:id="35" w:name="_Toc4739"/>
      <w:bookmarkStart w:id="36" w:name="_Toc7510"/>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2024-11-05</w:t>
            </w:r>
          </w:p>
        </w:tc>
        <w:tc>
          <w:tcPr>
            <w:tcW w:w="1309" w:type="dxa"/>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PAM水合　工序</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9</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49</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2024-11-05</w:t>
            </w:r>
          </w:p>
        </w:tc>
        <w:tc>
          <w:tcPr>
            <w:tcW w:w="1309" w:type="dxa"/>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9</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49</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北风</w:t>
            </w:r>
          </w:p>
        </w:tc>
      </w:tr>
    </w:tbl>
    <w:p w14:paraId="5EBABE17">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4967"/>
      <w:bookmarkStart w:id="38" w:name="_Toc2528"/>
      <w:bookmarkStart w:id="39" w:name="_Toc12867"/>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30982"/>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详见：山东华油万达化学有限公司2024年第四季度密封点检测记录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760"/>
      <w:bookmarkStart w:id="46" w:name="_Toc14"/>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5E2CBD8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4211D189">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6CCB6F06">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22D4D349">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T-005校准2024-10-25_00"/>
            <wp:cNvGraphicFramePr/>
            <a:graphic xmlns:a="http://schemas.openxmlformats.org/drawingml/2006/main">
              <a:graphicData uri="http://schemas.openxmlformats.org/drawingml/2006/picture">
                <pic:pic xmlns:pic="http://schemas.openxmlformats.org/drawingml/2006/picture">
                  <pic:nvPicPr>
                    <pic:cNvPr id="16" name="图片 16"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1"/>
            <wp:cNvGraphicFramePr/>
            <a:graphic xmlns:a="http://schemas.openxmlformats.org/drawingml/2006/main">
              <a:graphicData uri="http://schemas.openxmlformats.org/drawingml/2006/picture">
                <pic:pic xmlns:pic="http://schemas.openxmlformats.org/drawingml/2006/picture">
                  <pic:nvPicPr>
                    <pic:cNvPr id="17" name="图片 17"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5539D082">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2"/>
            <wp:cNvGraphicFramePr/>
            <a:graphic xmlns:a="http://schemas.openxmlformats.org/drawingml/2006/main">
              <a:graphicData uri="http://schemas.openxmlformats.org/drawingml/2006/picture">
                <pic:pic xmlns:pic="http://schemas.openxmlformats.org/drawingml/2006/picture">
                  <pic:nvPicPr>
                    <pic:cNvPr id="22" name="图片 22"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0FC08092">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23BA929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7E6986C3">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40471B61">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1F6A3506">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25216"/>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230CE76F">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23" name="图片 23" descr="055ff60e57fa2714a23411f3a40e97e"/>
            <wp:cNvGraphicFramePr/>
            <a:graphic xmlns:a="http://schemas.openxmlformats.org/drawingml/2006/main">
              <a:graphicData uri="http://schemas.openxmlformats.org/drawingml/2006/picture">
                <pic:pic xmlns:pic="http://schemas.openxmlformats.org/drawingml/2006/picture">
                  <pic:nvPicPr>
                    <pic:cNvPr id="23" name="图片 23" descr="055ff60e57fa2714a23411f3a40e97e"/>
                    <pic:cNvPicPr/>
                  </pic:nvPicPr>
                  <pic:blipFill>
                    <a:blip r:embed="rId38"/>
                    <a:stretch>
                      <a:fillRect/>
                    </a:stretch>
                  </pic:blipFill>
                  <pic:spPr>
                    <a:xfrm>
                      <a:off x="0" y="0"/>
                      <a:ext cx="2879725" cy="431990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24" name="图片 24" descr="72d968838626094c429c5265bdb0159"/>
            <wp:cNvGraphicFramePr/>
            <a:graphic xmlns:a="http://schemas.openxmlformats.org/drawingml/2006/main">
              <a:graphicData uri="http://schemas.openxmlformats.org/drawingml/2006/picture">
                <pic:pic xmlns:pic="http://schemas.openxmlformats.org/drawingml/2006/picture">
                  <pic:nvPicPr>
                    <pic:cNvPr id="24" name="图片 24" descr="72d968838626094c429c5265bdb0159"/>
                    <pic:cNvPicPr/>
                  </pic:nvPicPr>
                  <pic:blipFill>
                    <a:blip r:embed="rId39"/>
                    <a:stretch>
                      <a:fillRect/>
                    </a:stretch>
                  </pic:blipFill>
                  <pic:spPr>
                    <a:xfrm>
                      <a:off x="0" y="0"/>
                      <a:ext cx="2879725" cy="431990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26" name="图片 26" descr="557f2989cfdebc1b87cfa0a5afbff05"/>
            <wp:cNvGraphicFramePr/>
            <a:graphic xmlns:a="http://schemas.openxmlformats.org/drawingml/2006/main">
              <a:graphicData uri="http://schemas.openxmlformats.org/drawingml/2006/picture">
                <pic:pic xmlns:pic="http://schemas.openxmlformats.org/drawingml/2006/picture">
                  <pic:nvPicPr>
                    <pic:cNvPr id="26" name="图片 26" descr="557f2989cfdebc1b87cfa0a5afbff05"/>
                    <pic:cNvPicPr/>
                  </pic:nvPicPr>
                  <pic:blipFill>
                    <a:blip r:embed="rId40"/>
                    <a:stretch>
                      <a:fillRect/>
                    </a:stretch>
                  </pic:blipFill>
                  <pic:spPr>
                    <a:xfrm>
                      <a:off x="0" y="0"/>
                      <a:ext cx="2879725" cy="431990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23812"/>
      <w:bookmarkStart w:id="50" w:name="_Toc18828"/>
      <w:bookmarkStart w:id="51" w:name="_Toc30699"/>
      <w:bookmarkStart w:id="52" w:name="_Toc29205"/>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报告编号：（E检）字（2024）0033号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报告编号：（E检）字（2024）0033号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报告编号：（E检）字（2024）0033号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报告编号：（E检）字（2024）0033号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477318"/>
    <w:rsid w:val="0284231A"/>
    <w:rsid w:val="030B47EA"/>
    <w:rsid w:val="030E7E36"/>
    <w:rsid w:val="036A7762"/>
    <w:rsid w:val="03773C2D"/>
    <w:rsid w:val="03795BF7"/>
    <w:rsid w:val="03912F41"/>
    <w:rsid w:val="03A964DC"/>
    <w:rsid w:val="03B1713F"/>
    <w:rsid w:val="03CC21CB"/>
    <w:rsid w:val="03EF1A15"/>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F640BE"/>
    <w:rsid w:val="0C112E71"/>
    <w:rsid w:val="0C232BA4"/>
    <w:rsid w:val="0C364685"/>
    <w:rsid w:val="0C3836CF"/>
    <w:rsid w:val="0C4A1EDF"/>
    <w:rsid w:val="0C5E1E2E"/>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84395A"/>
    <w:rsid w:val="0F9161B4"/>
    <w:rsid w:val="0FF705D0"/>
    <w:rsid w:val="0FFC5D0A"/>
    <w:rsid w:val="1003335A"/>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551606"/>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EC711E"/>
    <w:rsid w:val="21F42BC1"/>
    <w:rsid w:val="21F474E9"/>
    <w:rsid w:val="220426D8"/>
    <w:rsid w:val="221E379A"/>
    <w:rsid w:val="22546AB4"/>
    <w:rsid w:val="225607C0"/>
    <w:rsid w:val="22A50F8D"/>
    <w:rsid w:val="22DD3655"/>
    <w:rsid w:val="22F24386"/>
    <w:rsid w:val="22FF1E77"/>
    <w:rsid w:val="22FF35CB"/>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90032A5"/>
    <w:rsid w:val="295C2DFA"/>
    <w:rsid w:val="29711695"/>
    <w:rsid w:val="29752839"/>
    <w:rsid w:val="29BB3FC4"/>
    <w:rsid w:val="29F6324E"/>
    <w:rsid w:val="2A4D10C0"/>
    <w:rsid w:val="2A836E67"/>
    <w:rsid w:val="2AB32EED"/>
    <w:rsid w:val="2ACE1AD5"/>
    <w:rsid w:val="2AE00186"/>
    <w:rsid w:val="2AEA2DB3"/>
    <w:rsid w:val="2AFB3CEE"/>
    <w:rsid w:val="2B004385"/>
    <w:rsid w:val="2BCF7241"/>
    <w:rsid w:val="2C096436"/>
    <w:rsid w:val="2C16267E"/>
    <w:rsid w:val="2C1A76C8"/>
    <w:rsid w:val="2C931796"/>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C61769"/>
    <w:rsid w:val="34482EEA"/>
    <w:rsid w:val="345B087E"/>
    <w:rsid w:val="3467447F"/>
    <w:rsid w:val="347E631A"/>
    <w:rsid w:val="354E03E2"/>
    <w:rsid w:val="35512E0C"/>
    <w:rsid w:val="35814314"/>
    <w:rsid w:val="3592207D"/>
    <w:rsid w:val="35A4650F"/>
    <w:rsid w:val="35C3492C"/>
    <w:rsid w:val="35FE7713"/>
    <w:rsid w:val="360410B6"/>
    <w:rsid w:val="36062A6B"/>
    <w:rsid w:val="3632560E"/>
    <w:rsid w:val="365C5686"/>
    <w:rsid w:val="370B70A1"/>
    <w:rsid w:val="371B2546"/>
    <w:rsid w:val="37411FAD"/>
    <w:rsid w:val="37D55DF2"/>
    <w:rsid w:val="37E1553E"/>
    <w:rsid w:val="38044D88"/>
    <w:rsid w:val="383970A0"/>
    <w:rsid w:val="38610BCD"/>
    <w:rsid w:val="387168C2"/>
    <w:rsid w:val="38B976BC"/>
    <w:rsid w:val="38CD161E"/>
    <w:rsid w:val="392408E0"/>
    <w:rsid w:val="39322124"/>
    <w:rsid w:val="39395C4E"/>
    <w:rsid w:val="39B5307B"/>
    <w:rsid w:val="39D4535A"/>
    <w:rsid w:val="39D72754"/>
    <w:rsid w:val="3A137505"/>
    <w:rsid w:val="3A3F7EB0"/>
    <w:rsid w:val="3A4A5247"/>
    <w:rsid w:val="3AC84E8B"/>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D119A5"/>
    <w:rsid w:val="44FA73AA"/>
    <w:rsid w:val="45003743"/>
    <w:rsid w:val="45352A25"/>
    <w:rsid w:val="455C1BA0"/>
    <w:rsid w:val="457F1EF2"/>
    <w:rsid w:val="459935B0"/>
    <w:rsid w:val="45CA13BF"/>
    <w:rsid w:val="45D44177"/>
    <w:rsid w:val="45E760E3"/>
    <w:rsid w:val="461E170B"/>
    <w:rsid w:val="46496788"/>
    <w:rsid w:val="464B192A"/>
    <w:rsid w:val="467C183B"/>
    <w:rsid w:val="46D02A05"/>
    <w:rsid w:val="471A45C8"/>
    <w:rsid w:val="47413903"/>
    <w:rsid w:val="47822130"/>
    <w:rsid w:val="47D26C51"/>
    <w:rsid w:val="47E9347F"/>
    <w:rsid w:val="47ED3A8B"/>
    <w:rsid w:val="481132D5"/>
    <w:rsid w:val="489C2DDD"/>
    <w:rsid w:val="48B86DCE"/>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C3D6C70"/>
    <w:rsid w:val="4C4023DB"/>
    <w:rsid w:val="4CC5397E"/>
    <w:rsid w:val="4D467EC5"/>
    <w:rsid w:val="4DA4699A"/>
    <w:rsid w:val="4DC1579E"/>
    <w:rsid w:val="4E7C1FBD"/>
    <w:rsid w:val="4E816CDB"/>
    <w:rsid w:val="4F1162B1"/>
    <w:rsid w:val="4F4A13F1"/>
    <w:rsid w:val="4F581676"/>
    <w:rsid w:val="4F7505EE"/>
    <w:rsid w:val="4F790723"/>
    <w:rsid w:val="4F921EB2"/>
    <w:rsid w:val="5019366F"/>
    <w:rsid w:val="501F67AB"/>
    <w:rsid w:val="502618E8"/>
    <w:rsid w:val="507C68AE"/>
    <w:rsid w:val="50A40850"/>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3FF492A"/>
    <w:rsid w:val="540168F4"/>
    <w:rsid w:val="542E16B3"/>
    <w:rsid w:val="54CC288D"/>
    <w:rsid w:val="54D67D81"/>
    <w:rsid w:val="557D01FC"/>
    <w:rsid w:val="55872E29"/>
    <w:rsid w:val="55B87486"/>
    <w:rsid w:val="55E069DD"/>
    <w:rsid w:val="56002BDB"/>
    <w:rsid w:val="56356262"/>
    <w:rsid w:val="563B3C13"/>
    <w:rsid w:val="567075D8"/>
    <w:rsid w:val="56723AD9"/>
    <w:rsid w:val="56737851"/>
    <w:rsid w:val="56753AA2"/>
    <w:rsid w:val="56847368"/>
    <w:rsid w:val="569062D3"/>
    <w:rsid w:val="56A10AD4"/>
    <w:rsid w:val="56A25A40"/>
    <w:rsid w:val="56BF65F2"/>
    <w:rsid w:val="572240DF"/>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3343EC4"/>
    <w:rsid w:val="643C74D4"/>
    <w:rsid w:val="64742395"/>
    <w:rsid w:val="64CD7191"/>
    <w:rsid w:val="64E33DF4"/>
    <w:rsid w:val="6517738C"/>
    <w:rsid w:val="65257F68"/>
    <w:rsid w:val="65424FBE"/>
    <w:rsid w:val="65624D19"/>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707ED8"/>
    <w:rsid w:val="6AA13AE8"/>
    <w:rsid w:val="6AA8002E"/>
    <w:rsid w:val="6AB04778"/>
    <w:rsid w:val="6ABC311D"/>
    <w:rsid w:val="6B1906BD"/>
    <w:rsid w:val="6B3233DF"/>
    <w:rsid w:val="6B39549E"/>
    <w:rsid w:val="6B451364"/>
    <w:rsid w:val="6B5A2284"/>
    <w:rsid w:val="6B5E2426"/>
    <w:rsid w:val="6B64343E"/>
    <w:rsid w:val="6B7834E8"/>
    <w:rsid w:val="6B7D28AC"/>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6F7915DC"/>
    <w:rsid w:val="70001CFE"/>
    <w:rsid w:val="702F35E3"/>
    <w:rsid w:val="70396FED"/>
    <w:rsid w:val="70A45743"/>
    <w:rsid w:val="70D93433"/>
    <w:rsid w:val="70E31ABA"/>
    <w:rsid w:val="70EC5DDE"/>
    <w:rsid w:val="7104112D"/>
    <w:rsid w:val="711315BD"/>
    <w:rsid w:val="71155335"/>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4E52B9"/>
    <w:rsid w:val="756B5E6B"/>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9D0629D"/>
    <w:rsid w:val="79FD2E0A"/>
    <w:rsid w:val="7A1B7E60"/>
    <w:rsid w:val="7A2D7B93"/>
    <w:rsid w:val="7A460C55"/>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9615AC"/>
    <w:rsid w:val="7DBD122E"/>
    <w:rsid w:val="7DD722F0"/>
    <w:rsid w:val="7E0429B9"/>
    <w:rsid w:val="7E096221"/>
    <w:rsid w:val="7E1A21DD"/>
    <w:rsid w:val="7E605637"/>
    <w:rsid w:val="7E6F077A"/>
    <w:rsid w:val="7E701DB9"/>
    <w:rsid w:val="7EAD056A"/>
    <w:rsid w:val="7EB3129B"/>
    <w:rsid w:val="7F01514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1771</Words>
  <Characters>2068</Characters>
  <Lines>0</Lines>
  <Paragraphs>0</Paragraphs>
  <TotalTime>0</TotalTime>
  <ScaleCrop>false</ScaleCrop>
  <LinksUpToDate>false</LinksUpToDate>
  <CharactersWithSpaces>2377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2024-11-18T06:23:58Z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FF4E33B217994C449E68A6FC04C2039D_13</vt:lpwstr>
  </property>
</Properties>
</file>