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7"/>
        <w:jc w:val="both"/>
        <w:rPr>
          <w:rFonts w:ascii="黑体" w:hAnsi="黑体" w:eastAsia="黑体" w:cs="黑体"/>
          <w:bCs/>
        </w:rPr>
      </w:pPr>
      <w: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7"/>
                    <a:stretch>
                      <a:fillRect/>
                    </a:stretch>
                  </pic:blipFill>
                  <pic:spPr>
                    <a:xfrm>
                      <a:off x="0" y="0"/>
                      <a:ext cx="1696720" cy="1687195"/>
                    </a:xfrm>
                    <a:prstGeom prst="rect">
                      <a:avLst/>
                    </a:prstGeom>
                    <a:noFill/>
                    <a:ln>
                      <a:noFill/>
                    </a:ln>
                  </pic:spPr>
                </pic:pic>
              </a:graphicData>
            </a:graphic>
          </wp:anchor>
        </w:drawing>
      </w:r>
    </w:p>
    <w:p>
      <w:pPr>
        <w:pStyle w:val="17"/>
        <w:jc w:val="right"/>
        <w:rPr>
          <w:rFonts w:ascii="黑体" w:hAnsi="黑体" w:eastAsia="黑体" w:cs="黑体"/>
          <w:bCs/>
        </w:rPr>
      </w:pPr>
    </w:p>
    <w:p>
      <w:pPr>
        <w:pStyle w:val="17"/>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7"/>
        <w:jc w:val="center"/>
        <w:rPr>
          <w:rFonts w:hint="eastAsia" w:ascii="黑体" w:hAnsi="黑体" w:eastAsia="黑体" w:cs="黑体"/>
          <w:bCs/>
          <w:color w:val="auto"/>
          <w:lang w:eastAsia="zh-CN"/>
        </w:rPr>
      </w:pPr>
    </w:p>
    <w:p>
      <w:pPr>
        <w:pStyle w:val="17"/>
        <w:jc w:val="center"/>
        <w:outlineLvl w:val="0"/>
        <w:rPr>
          <w:rFonts w:hint="eastAsia" w:ascii="宋体" w:hAnsi="宋体" w:cs="宋体"/>
          <w:b/>
          <w:bCs w:val="0"/>
          <w:color w:val="auto"/>
          <w:w w:val="80"/>
          <w:sz w:val="72"/>
          <w:szCs w:val="72"/>
          <w:u w:val="none"/>
          <w:lang w:val="en-US" w:eastAsia="zh-CN"/>
        </w:rPr>
      </w:pPr>
      <w:bookmarkStart w:id="0" w:name="_Toc32106"/>
      <w:bookmarkStart w:id="1" w:name="_Toc4197"/>
      <w:bookmarkStart w:id="2" w:name="_Toc30860"/>
    </w:p>
    <w:p>
      <w:pPr>
        <w:pStyle w:val="17"/>
        <w:jc w:val="center"/>
        <w:outlineLvl w:val="0"/>
        <w:rPr>
          <w:rFonts w:hint="eastAsia" w:ascii="宋体" w:hAnsi="宋体" w:cs="宋体"/>
          <w:b/>
          <w:bCs w:val="0"/>
          <w:color w:val="auto"/>
          <w:w w:val="80"/>
          <w:sz w:val="72"/>
          <w:szCs w:val="72"/>
          <w:u w:val="none"/>
          <w:lang w:val="en-US" w:eastAsia="zh-CN"/>
        </w:rPr>
      </w:pPr>
    </w:p>
    <w:bookmarkEnd w:id="0"/>
    <w:bookmarkEnd w:id="1"/>
    <w:bookmarkEnd w:id="2"/>
    <w:p>
      <w:pPr>
        <w:pStyle w:val="17"/>
        <w:ind w:right="960"/>
        <w:jc w:val="center"/>
        <w:rPr>
          <w:rFonts w:hint="eastAsia" w:ascii="黑体" w:hAnsi="黑体" w:eastAsia="黑体" w:cs="黑体"/>
          <w:b/>
          <w:bCs/>
          <w:color w:val="auto"/>
          <w:lang w:val="en-US" w:eastAsia="zh-CN"/>
        </w:rPr>
      </w:pPr>
    </w:p>
    <w:p>
      <w:pPr>
        <w:pStyle w:val="17"/>
        <w:jc w:val="center"/>
        <w:rPr>
          <w:rFonts w:hint="eastAsia" w:eastAsia="宋体" w:cs="Times New Roman"/>
          <w:b/>
          <w:bCs/>
          <w:sz w:val="72"/>
          <w:szCs w:val="72"/>
          <w:lang w:val="en-US" w:eastAsia="zh-CN"/>
        </w:rPr>
      </w:pPr>
      <w:r>
        <w:rPr>
          <w:rFonts w:hint="eastAsia" w:cs="Times New Roman"/>
          <w:b/>
          <w:bCs/>
          <w:sz w:val="72"/>
          <w:szCs w:val="72"/>
          <w:lang w:val="en-US" w:eastAsia="zh-CN"/>
        </w:rPr>
        <w:t xml:space="preserve">分 析 </w:t>
      </w:r>
      <w:r>
        <w:rPr>
          <w:rFonts w:hint="eastAsia" w:eastAsia="宋体" w:cs="Times New Roman"/>
          <w:b/>
          <w:bCs/>
          <w:sz w:val="72"/>
          <w:szCs w:val="72"/>
          <w:lang w:val="en-US" w:eastAsia="zh-CN"/>
        </w:rPr>
        <w:t>报</w:t>
      </w:r>
      <w:r>
        <w:rPr>
          <w:rFonts w:hint="eastAsia" w:cs="Times New Roman"/>
          <w:b/>
          <w:bCs/>
          <w:sz w:val="72"/>
          <w:szCs w:val="72"/>
          <w:lang w:val="en-US" w:eastAsia="zh-CN"/>
        </w:rPr>
        <w:t xml:space="preserve"> </w:t>
      </w:r>
      <w:r>
        <w:rPr>
          <w:rFonts w:hint="eastAsia" w:eastAsia="宋体" w:cs="Times New Roman"/>
          <w:b/>
          <w:bCs/>
          <w:sz w:val="72"/>
          <w:szCs w:val="72"/>
          <w:lang w:val="en-US" w:eastAsia="zh-CN"/>
        </w:rPr>
        <w:t>告</w:t>
      </w:r>
    </w:p>
    <w:p>
      <w:pPr>
        <w:pStyle w:val="17"/>
        <w:jc w:val="center"/>
        <w:rPr>
          <w:rFonts w:hint="eastAsia" w:ascii="宋体" w:hAnsi="宋体" w:eastAsia="宋体" w:cs="宋体"/>
          <w:b/>
          <w:bCs w:val="0"/>
          <w:color w:val="auto"/>
          <w:spacing w:val="227"/>
          <w:w w:val="80"/>
          <w:sz w:val="96"/>
          <w:szCs w:val="96"/>
          <w:lang w:val="en-US" w:eastAsia="zh-CN"/>
        </w:rPr>
      </w:pPr>
    </w:p>
    <w:p>
      <w:pPr>
        <w:jc w:val="center"/>
        <w:outlineLvl w:val="9"/>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bookmarkStart w:id="3" w:name="_Toc14839"/>
    </w:p>
    <w:p>
      <w:pPr>
        <w:jc w:val="both"/>
        <w:outlineLvl w:val="9"/>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检测项目：</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2024年第二季度挥发性有机物检测</w:t>
      </w:r>
    </w:p>
    <w:p>
      <w:pPr>
        <w:jc w:val="both"/>
        <w:outlineLvl w:val="9"/>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委托单位：</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山东威特化工有限公司</w:t>
      </w:r>
    </w:p>
    <w:p>
      <w:pPr>
        <w:jc w:val="center"/>
        <w:outlineLvl w:val="9"/>
        <w:rPr>
          <w:rFonts w:hint="default"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bookmarkStart w:id="4" w:name="_Toc10998"/>
      <w:r>
        <w:rPr>
          <w:rFonts w:hint="eastAsia" w:ascii="宋体" w:hAnsi="宋体" w:cs="宋体"/>
          <w:b/>
          <w:bCs/>
          <w:color w:val="000000" w:themeColor="text1"/>
          <w:sz w:val="28"/>
          <w:szCs w:val="28"/>
          <w:u w:val="none"/>
          <w:lang w:val="en-US" w:eastAsia="zh-CN" w:bidi="ar-SA"/>
          <w14:textFill>
            <w14:solidFill>
              <w14:schemeClr w14:val="tx1"/>
            </w14:solidFill>
          </w14:textFill>
        </w:rPr>
        <w:t xml:space="preserve">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检测地点：</w:t>
      </w:r>
      <w:bookmarkEnd w:id="4"/>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pPr>
        <w:ind w:firstLine="562"/>
        <w:jc w:val="both"/>
        <w:outlineLvl w:val="9"/>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024年05月22日-2024年05月24日</w:t>
      </w:r>
    </w:p>
    <w:p>
      <w:pPr>
        <w:ind w:firstLine="562"/>
        <w:jc w:val="both"/>
        <w:outlineLvl w:val="9"/>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出具报告日期：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2024年05月25日</w:t>
      </w:r>
    </w:p>
    <w:p>
      <w:pPr>
        <w:pStyle w:val="2"/>
        <w:rPr>
          <w:rFonts w:hint="eastAsia"/>
          <w:lang w:val="en-US" w:eastAsia="zh-CN"/>
        </w:rPr>
      </w:pPr>
    </w:p>
    <w:p>
      <w:pPr>
        <w:jc w:val="center"/>
        <w:outlineLvl w:val="9"/>
        <w:rPr>
          <w:rFonts w:hint="eastAsia" w:ascii="宋体" w:hAnsi="宋体" w:eastAsia="宋体"/>
          <w:b/>
          <w:sz w:val="32"/>
          <w:szCs w:val="32"/>
          <w:lang w:eastAsia="zh-CN"/>
        </w:rPr>
      </w:pPr>
      <w:r>
        <w:rPr>
          <w:rFonts w:hint="eastAsia" w:ascii="宋体" w:hAnsi="宋体" w:eastAsia="宋体"/>
          <w:b/>
          <w:sz w:val="32"/>
          <w:szCs w:val="32"/>
          <w:lang w:eastAsia="zh-CN"/>
        </w:rPr>
        <w:t>山东泓启环保技术服务有限公司</w:t>
      </w:r>
      <w:bookmarkEnd w:id="3"/>
    </w:p>
    <w:p>
      <w:pPr>
        <w:jc w:val="both"/>
        <w:rPr>
          <w:rFonts w:hint="eastAsia" w:ascii="宋体" w:hAnsi="宋体" w:eastAsia="宋体" w:cs="宋体"/>
          <w:b/>
          <w:bCs/>
          <w:sz w:val="21"/>
          <w:szCs w:val="21"/>
        </w:rPr>
      </w:pPr>
    </w:p>
    <w:p>
      <w:pPr>
        <w:pStyle w:val="17"/>
        <w:spacing w:line="360" w:lineRule="auto"/>
        <w:jc w:val="left"/>
        <w:rPr>
          <w:rFonts w:hint="eastAsia" w:ascii="宋体" w:hAnsi="宋体" w:eastAsia="宋体" w:cs="宋体"/>
          <w:b/>
          <w:bCs/>
          <w:sz w:val="21"/>
          <w:szCs w:val="21"/>
        </w:rPr>
      </w:pPr>
    </w:p>
    <w:p>
      <w:pPr>
        <w:spacing w:line="360" w:lineRule="auto"/>
        <w:ind w:firstLine="4216" w:firstLineChars="2000"/>
        <w:jc w:val="both"/>
        <w:rPr>
          <w:rFonts w:hint="eastAsia" w:ascii="宋体" w:hAnsi="宋体" w:eastAsia="宋体" w:cs="宋体"/>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pStyle w:val="17"/>
        <w:spacing w:line="360" w:lineRule="auto"/>
        <w:ind w:firstLine="4819" w:firstLineChars="2000"/>
        <w:jc w:val="left"/>
        <w:rPr>
          <w:rFonts w:hint="eastAsia" w:ascii="宋体" w:hAnsi="宋体" w:eastAsia="宋体" w:cs="宋体"/>
          <w:bCs/>
          <w:caps/>
          <w:color w:val="000000"/>
          <w:sz w:val="22"/>
          <w:szCs w:val="22"/>
          <w:lang w:val="en-US" w:eastAsia="zh-CN" w:bidi="ar-SA"/>
        </w:rPr>
      </w:pPr>
      <w:r>
        <w:rPr>
          <w:rFonts w:hint="eastAsia" w:ascii="宋体" w:hAnsi="宋体" w:eastAsia="宋体" w:cs="宋体"/>
          <w:b/>
          <w:bCs/>
          <w:sz w:val="24"/>
          <w:szCs w:val="24"/>
        </w:rPr>
        <w:t>目录</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TOC \o "1-3" \h \z \u </w:instrText>
      </w:r>
      <w:r>
        <w:rPr>
          <w:rFonts w:hint="eastAsia" w:ascii="宋体" w:hAnsi="宋体" w:eastAsia="宋体" w:cs="宋体"/>
          <w:sz w:val="22"/>
          <w:szCs w:val="22"/>
        </w:rPr>
        <w:fldChar w:fldCharType="separate"/>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_Toc13256 </w:instrText>
      </w:r>
      <w:r>
        <w:rPr>
          <w:rFonts w:hint="eastAsia" w:ascii="宋体" w:hAnsi="宋体" w:eastAsia="宋体" w:cs="宋体"/>
          <w:bCs/>
          <w:caps/>
          <w:szCs w:val="22"/>
        </w:rPr>
        <w:fldChar w:fldCharType="separate"/>
      </w:r>
      <w:r>
        <w:rPr>
          <w:rFonts w:hint="eastAsia" w:ascii="宋体" w:hAnsi="宋体" w:cs="宋体"/>
          <w:lang w:val="en-US" w:eastAsia="zh-CN"/>
        </w:rPr>
        <w:t>说明</w:t>
      </w:r>
      <w:r>
        <w:tab/>
      </w:r>
      <w:r>
        <w:fldChar w:fldCharType="begin"/>
      </w:r>
      <w:r>
        <w:instrText xml:space="preserve"> PAGEREF _Toc13256 \h </w:instrText>
      </w:r>
      <w:r>
        <w:fldChar w:fldCharType="separate"/>
      </w:r>
      <w:r>
        <w:t>1</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_Toc13271 </w:instrText>
      </w:r>
      <w:r>
        <w:rPr>
          <w:rFonts w:hint="eastAsia" w:ascii="宋体" w:hAnsi="宋体" w:eastAsia="宋体" w:cs="宋体"/>
          <w:bCs/>
          <w:caps/>
          <w:szCs w:val="22"/>
        </w:rPr>
        <w:fldChar w:fldCharType="separate"/>
      </w:r>
      <w:r>
        <w:rPr>
          <w:rFonts w:hint="eastAsia"/>
          <w:szCs w:val="36"/>
          <w:lang w:val="en-US" w:eastAsia="zh-CN"/>
        </w:rPr>
        <w:t>资质证书</w:t>
      </w:r>
      <w:r>
        <w:tab/>
      </w:r>
      <w:r>
        <w:fldChar w:fldCharType="begin"/>
      </w:r>
      <w:r>
        <w:instrText xml:space="preserve"> PAGEREF _Toc13271 \h </w:instrText>
      </w:r>
      <w:r>
        <w:fldChar w:fldCharType="separate"/>
      </w:r>
      <w:r>
        <w:t>2</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_Toc23221 </w:instrText>
      </w:r>
      <w:r>
        <w:rPr>
          <w:rFonts w:hint="eastAsia" w:ascii="宋体" w:hAnsi="宋体" w:eastAsia="宋体" w:cs="宋体"/>
          <w:bCs/>
          <w:caps/>
          <w:szCs w:val="22"/>
        </w:rPr>
        <w:fldChar w:fldCharType="separate"/>
      </w:r>
      <w:r>
        <w:rPr>
          <w:rFonts w:hint="eastAsia" w:ascii="宋体" w:hAnsi="宋体" w:cs="宋体"/>
          <w:lang w:val="en-US" w:eastAsia="zh-CN"/>
        </w:rPr>
        <w:t>本报告规范性引用文件</w:t>
      </w:r>
      <w:r>
        <w:tab/>
      </w:r>
      <w:r>
        <w:fldChar w:fldCharType="begin"/>
      </w:r>
      <w:r>
        <w:instrText xml:space="preserve"> PAGEREF _Toc23221 \h </w:instrText>
      </w:r>
      <w:r>
        <w:fldChar w:fldCharType="separate"/>
      </w:r>
      <w:r>
        <w:t>3</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_Toc18471 </w:instrText>
      </w:r>
      <w:r>
        <w:rPr>
          <w:rFonts w:hint="eastAsia" w:ascii="宋体" w:hAnsi="宋体" w:eastAsia="宋体" w:cs="宋体"/>
          <w:bCs/>
          <w:caps/>
          <w:szCs w:val="22"/>
        </w:rPr>
        <w:fldChar w:fldCharType="separate"/>
      </w:r>
      <w:r>
        <w:rPr>
          <w:rFonts w:hint="eastAsia" w:ascii="宋体" w:hAnsi="宋体" w:eastAsia="宋体" w:cs="宋体"/>
          <w:lang w:val="en-US" w:eastAsia="zh-CN"/>
        </w:rPr>
        <w:t>1. 挥发性有机物（VOC</w:t>
      </w:r>
      <w:r>
        <w:rPr>
          <w:rFonts w:hint="eastAsia" w:ascii="宋体" w:hAnsi="宋体" w:cs="宋体"/>
          <w:bCs/>
          <w:szCs w:val="21"/>
          <w:lang w:val="en-US" w:eastAsia="zh-CN"/>
        </w:rPr>
        <w:t>s</w:t>
      </w:r>
      <w:r>
        <w:rPr>
          <w:rFonts w:hint="eastAsia" w:ascii="宋体" w:hAnsi="宋体" w:eastAsia="宋体" w:cs="宋体"/>
          <w:lang w:val="en-US" w:eastAsia="zh-CN"/>
        </w:rPr>
        <w:t>）检测结果报告单</w:t>
      </w:r>
      <w:r>
        <w:tab/>
      </w:r>
      <w:r>
        <w:fldChar w:fldCharType="begin"/>
      </w:r>
      <w:r>
        <w:instrText xml:space="preserve"> PAGEREF _Toc18471 \h </w:instrText>
      </w:r>
      <w:r>
        <w:fldChar w:fldCharType="separate"/>
      </w:r>
      <w:r>
        <w:t>4</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_Toc5150 </w:instrText>
      </w:r>
      <w:r>
        <w:rPr>
          <w:rFonts w:hint="eastAsia" w:ascii="宋体" w:hAnsi="宋体" w:eastAsia="宋体" w:cs="宋体"/>
          <w:bCs/>
          <w:caps/>
          <w:szCs w:val="22"/>
        </w:rPr>
        <w:fldChar w:fldCharType="separate"/>
      </w:r>
      <w:r>
        <w:rPr>
          <w:rFonts w:hint="eastAsia" w:ascii="宋体" w:hAnsi="宋体"/>
          <w:szCs w:val="28"/>
          <w:lang w:val="en-US" w:eastAsia="zh-CN"/>
        </w:rPr>
        <w:t>1.1</w:t>
      </w:r>
      <w:r>
        <w:rPr>
          <w:rFonts w:ascii="宋体" w:hAnsi="宋体"/>
          <w:szCs w:val="28"/>
        </w:rPr>
        <w:t>企业名称、性质、地址</w:t>
      </w:r>
      <w:r>
        <w:rPr>
          <w:rFonts w:hint="eastAsia" w:ascii="宋体" w:hAnsi="宋体"/>
          <w:szCs w:val="28"/>
          <w:lang w:eastAsia="zh-CN"/>
        </w:rPr>
        <w:t>、</w:t>
      </w:r>
      <w:r>
        <w:rPr>
          <w:rFonts w:hint="eastAsia" w:ascii="宋体" w:hAnsi="宋体"/>
          <w:szCs w:val="28"/>
          <w:lang w:val="en-US" w:eastAsia="zh-CN"/>
        </w:rPr>
        <w:t>组织架构</w:t>
      </w:r>
      <w:r>
        <w:tab/>
      </w:r>
      <w:r>
        <w:fldChar w:fldCharType="begin"/>
      </w:r>
      <w:r>
        <w:instrText xml:space="preserve"> PAGEREF _Toc5150 \h </w:instrText>
      </w:r>
      <w:r>
        <w:fldChar w:fldCharType="separate"/>
      </w:r>
      <w:r>
        <w:t>5</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_Toc1029 </w:instrText>
      </w:r>
      <w:r>
        <w:rPr>
          <w:rFonts w:hint="eastAsia" w:ascii="宋体" w:hAnsi="宋体" w:eastAsia="宋体" w:cs="宋体"/>
          <w:bCs/>
          <w:caps/>
          <w:szCs w:val="22"/>
        </w:rPr>
        <w:fldChar w:fldCharType="separate"/>
      </w:r>
      <w:r>
        <w:rPr>
          <w:rFonts w:hint="eastAsia" w:ascii="宋体" w:hAnsi="宋体" w:eastAsia="宋体"/>
          <w:szCs w:val="28"/>
          <w:lang w:val="en-US" w:eastAsia="zh-CN"/>
        </w:rPr>
        <w:t>1.2企业简介</w:t>
      </w:r>
      <w:r>
        <w:tab/>
      </w:r>
      <w:r>
        <w:fldChar w:fldCharType="begin"/>
      </w:r>
      <w:r>
        <w:instrText xml:space="preserve"> PAGEREF _Toc1029 \h </w:instrText>
      </w:r>
      <w:r>
        <w:fldChar w:fldCharType="separate"/>
      </w:r>
      <w:r>
        <w:t>5</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_Toc18144 </w:instrText>
      </w:r>
      <w:r>
        <w:rPr>
          <w:rFonts w:hint="eastAsia" w:ascii="宋体" w:hAnsi="宋体" w:eastAsia="宋体" w:cs="宋体"/>
          <w:bCs/>
          <w:caps/>
          <w:szCs w:val="22"/>
        </w:rPr>
        <w:fldChar w:fldCharType="separate"/>
      </w:r>
      <w:r>
        <w:rPr>
          <w:rFonts w:hint="eastAsia" w:ascii="宋体" w:hAnsi="宋体"/>
          <w:szCs w:val="28"/>
          <w:lang w:val="en-US" w:eastAsia="zh-CN"/>
        </w:rPr>
        <w:t>1.3开展 LDAR 基本情况</w:t>
      </w:r>
      <w:r>
        <w:tab/>
      </w:r>
      <w:r>
        <w:fldChar w:fldCharType="begin"/>
      </w:r>
      <w:r>
        <w:instrText xml:space="preserve"> PAGEREF _Toc18144 \h </w:instrText>
      </w:r>
      <w:r>
        <w:fldChar w:fldCharType="separate"/>
      </w:r>
      <w:r>
        <w:t>5</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_Toc23759 </w:instrText>
      </w:r>
      <w:r>
        <w:rPr>
          <w:rFonts w:hint="eastAsia" w:ascii="宋体" w:hAnsi="宋体" w:eastAsia="宋体" w:cs="宋体"/>
          <w:bCs/>
          <w:caps/>
          <w:szCs w:val="22"/>
        </w:rPr>
        <w:fldChar w:fldCharType="separate"/>
      </w:r>
      <w:r>
        <w:rPr>
          <w:rFonts w:hint="eastAsia" w:asciiTheme="minorEastAsia" w:hAnsiTheme="minorEastAsia" w:eastAsiaTheme="minorEastAsia" w:cstheme="minorEastAsia"/>
          <w:lang w:val="en-US" w:eastAsia="zh-CN"/>
        </w:rPr>
        <w:t>2.项目建立</w:t>
      </w:r>
      <w:r>
        <w:tab/>
      </w:r>
      <w:r>
        <w:fldChar w:fldCharType="begin"/>
      </w:r>
      <w:r>
        <w:instrText xml:space="preserve"> PAGEREF _Toc23759 \h </w:instrText>
      </w:r>
      <w:r>
        <w:fldChar w:fldCharType="separate"/>
      </w:r>
      <w:r>
        <w:t>5</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_Toc31983 </w:instrText>
      </w:r>
      <w:r>
        <w:rPr>
          <w:rFonts w:hint="eastAsia" w:ascii="宋体" w:hAnsi="宋体" w:eastAsia="宋体" w:cs="宋体"/>
          <w:bCs/>
          <w:caps/>
          <w:szCs w:val="22"/>
        </w:rPr>
        <w:fldChar w:fldCharType="separate"/>
      </w:r>
      <w:r>
        <w:rPr>
          <w:rFonts w:hint="eastAsia" w:asciiTheme="minorEastAsia" w:hAnsiTheme="minorEastAsia" w:eastAsiaTheme="minorEastAsia" w:cstheme="minorEastAsia"/>
          <w:lang w:val="en-US" w:eastAsia="zh-CN"/>
        </w:rPr>
        <w:t>2.1</w:t>
      </w:r>
      <w:r>
        <w:rPr>
          <w:rFonts w:hint="eastAsia"/>
          <w:lang w:val="en-US" w:eastAsia="zh-CN"/>
        </w:rPr>
        <w:t>项目组筹建</w:t>
      </w:r>
      <w:r>
        <w:tab/>
      </w:r>
      <w:r>
        <w:fldChar w:fldCharType="begin"/>
      </w:r>
      <w:r>
        <w:instrText xml:space="preserve"> PAGEREF _Toc31983 \h </w:instrText>
      </w:r>
      <w:r>
        <w:fldChar w:fldCharType="separate"/>
      </w:r>
      <w:r>
        <w:t>5</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_Toc15989 </w:instrText>
      </w:r>
      <w:r>
        <w:rPr>
          <w:rFonts w:hint="eastAsia" w:ascii="宋体" w:hAnsi="宋体" w:eastAsia="宋体" w:cs="宋体"/>
          <w:bCs/>
          <w:caps/>
          <w:szCs w:val="22"/>
        </w:rPr>
        <w:fldChar w:fldCharType="separate"/>
      </w:r>
      <w:r>
        <w:rPr>
          <w:rFonts w:hint="eastAsia" w:ascii="宋体" w:hAnsi="宋体" w:eastAsia="宋体" w:cs="宋体"/>
          <w:lang w:val="en-US" w:eastAsia="zh-CN"/>
        </w:rPr>
        <w:t>2.2密封点建档</w:t>
      </w:r>
      <w:r>
        <w:tab/>
      </w:r>
      <w:r>
        <w:fldChar w:fldCharType="begin"/>
      </w:r>
      <w:r>
        <w:instrText xml:space="preserve"> PAGEREF _Toc15989 \h </w:instrText>
      </w:r>
      <w:r>
        <w:fldChar w:fldCharType="separate"/>
      </w:r>
      <w:r>
        <w:t>6</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_Toc32035 </w:instrText>
      </w:r>
      <w:r>
        <w:rPr>
          <w:rFonts w:hint="eastAsia" w:ascii="宋体" w:hAnsi="宋体" w:eastAsia="宋体" w:cs="宋体"/>
          <w:bCs/>
          <w:caps/>
          <w:szCs w:val="22"/>
        </w:rPr>
        <w:fldChar w:fldCharType="separate"/>
      </w:r>
      <w:r>
        <w:rPr>
          <w:rFonts w:hint="eastAsia" w:ascii="宋体" w:hAnsi="宋体"/>
          <w:bCs w:val="0"/>
          <w:szCs w:val="21"/>
        </w:rPr>
        <w:t>检测</w:t>
      </w:r>
      <w:r>
        <w:rPr>
          <w:rFonts w:ascii="宋体" w:hAnsi="宋体"/>
          <w:bCs w:val="0"/>
          <w:szCs w:val="21"/>
        </w:rPr>
        <w:t>密封点识别及编号流程</w:t>
      </w:r>
      <w:r>
        <w:tab/>
      </w:r>
      <w:r>
        <w:fldChar w:fldCharType="begin"/>
      </w:r>
      <w:r>
        <w:instrText xml:space="preserve"> PAGEREF _Toc32035 \h </w:instrText>
      </w:r>
      <w:r>
        <w:fldChar w:fldCharType="separate"/>
      </w:r>
      <w:r>
        <w:t>7</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_Toc15498 </w:instrText>
      </w:r>
      <w:r>
        <w:rPr>
          <w:rFonts w:hint="eastAsia" w:ascii="宋体" w:hAnsi="宋体" w:eastAsia="宋体" w:cs="宋体"/>
          <w:bCs/>
          <w:caps/>
          <w:szCs w:val="22"/>
        </w:rPr>
        <w:fldChar w:fldCharType="separate"/>
      </w:r>
      <w:r>
        <w:rPr>
          <w:rFonts w:hint="eastAsia" w:ascii="宋体" w:hAnsi="宋体" w:eastAsia="宋体" w:cs="宋体"/>
          <w:lang w:val="en-US" w:eastAsia="zh-CN"/>
        </w:rPr>
        <w:t>2.3装置适合性分析</w:t>
      </w:r>
      <w:r>
        <w:tab/>
      </w:r>
      <w:r>
        <w:fldChar w:fldCharType="begin"/>
      </w:r>
      <w:r>
        <w:instrText xml:space="preserve"> PAGEREF _Toc15498 \h </w:instrText>
      </w:r>
      <w:r>
        <w:fldChar w:fldCharType="separate"/>
      </w:r>
      <w:r>
        <w:t>7</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_Toc15473 </w:instrText>
      </w:r>
      <w:r>
        <w:rPr>
          <w:rFonts w:hint="eastAsia" w:ascii="宋体" w:hAnsi="宋体" w:eastAsia="宋体" w:cs="宋体"/>
          <w:bCs/>
          <w:caps/>
          <w:szCs w:val="22"/>
        </w:rPr>
        <w:fldChar w:fldCharType="separate"/>
      </w:r>
      <w:r>
        <w:rPr>
          <w:rFonts w:hint="eastAsia" w:ascii="宋体" w:hAnsi="宋体" w:eastAsia="宋体" w:cs="宋体"/>
          <w:lang w:val="en-US" w:eastAsia="zh-CN"/>
        </w:rPr>
        <w:t>2.4物料状态分析表</w:t>
      </w:r>
      <w:r>
        <w:tab/>
      </w:r>
      <w:r>
        <w:fldChar w:fldCharType="begin"/>
      </w:r>
      <w:r>
        <w:instrText xml:space="preserve"> PAGEREF _Toc15473 \h </w:instrText>
      </w:r>
      <w:r>
        <w:fldChar w:fldCharType="separate"/>
      </w:r>
      <w:r>
        <w:t>8</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_Toc12569 </w:instrText>
      </w:r>
      <w:r>
        <w:rPr>
          <w:rFonts w:hint="eastAsia" w:ascii="宋体" w:hAnsi="宋体" w:eastAsia="宋体" w:cs="宋体"/>
          <w:bCs/>
          <w:caps/>
          <w:szCs w:val="22"/>
        </w:rPr>
        <w:fldChar w:fldCharType="separate"/>
      </w:r>
      <w:r>
        <w:rPr>
          <w:rFonts w:hint="eastAsia" w:ascii="宋体" w:hAnsi="宋体" w:eastAsia="宋体" w:cs="宋体"/>
          <w:lang w:val="en-US" w:eastAsia="zh-CN"/>
        </w:rPr>
        <w:t>2.5受控装置分析清单</w:t>
      </w:r>
      <w:r>
        <w:tab/>
      </w:r>
      <w:r>
        <w:fldChar w:fldCharType="begin"/>
      </w:r>
      <w:r>
        <w:instrText xml:space="preserve"> PAGEREF _Toc12569 \h </w:instrText>
      </w:r>
      <w:r>
        <w:fldChar w:fldCharType="separate"/>
      </w:r>
      <w:r>
        <w:t>8</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_Toc10747 </w:instrText>
      </w:r>
      <w:r>
        <w:rPr>
          <w:rFonts w:hint="eastAsia" w:ascii="宋体" w:hAnsi="宋体" w:eastAsia="宋体" w:cs="宋体"/>
          <w:bCs/>
          <w:caps/>
          <w:szCs w:val="22"/>
        </w:rPr>
        <w:fldChar w:fldCharType="separate"/>
      </w:r>
      <w:r>
        <w:rPr>
          <w:rFonts w:hint="eastAsia" w:ascii="宋体" w:hAnsi="宋体" w:eastAsia="宋体" w:cs="宋体"/>
          <w:lang w:val="en-US" w:eastAsia="zh-CN"/>
        </w:rPr>
        <w:t>2.6装置适合性分析</w:t>
      </w:r>
      <w:r>
        <w:tab/>
      </w:r>
      <w:r>
        <w:fldChar w:fldCharType="begin"/>
      </w:r>
      <w:r>
        <w:instrText xml:space="preserve"> PAGEREF _Toc10747 \h </w:instrText>
      </w:r>
      <w:r>
        <w:fldChar w:fldCharType="separate"/>
      </w:r>
      <w:r>
        <w:t>9</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_Toc24308 </w:instrText>
      </w:r>
      <w:r>
        <w:rPr>
          <w:rFonts w:hint="eastAsia" w:ascii="宋体" w:hAnsi="宋体" w:eastAsia="宋体" w:cs="宋体"/>
          <w:bCs/>
          <w:caps/>
          <w:szCs w:val="22"/>
        </w:rPr>
        <w:fldChar w:fldCharType="separate"/>
      </w:r>
      <w:r>
        <w:rPr>
          <w:rFonts w:hint="eastAsia" w:ascii="宋体" w:hAnsi="宋体" w:eastAsia="宋体" w:cs="宋体"/>
          <w:lang w:val="en-US" w:eastAsia="zh-CN"/>
        </w:rPr>
        <w:t>2.7响应因子分析</w:t>
      </w:r>
      <w:r>
        <w:tab/>
      </w:r>
      <w:r>
        <w:fldChar w:fldCharType="begin"/>
      </w:r>
      <w:r>
        <w:instrText xml:space="preserve"> PAGEREF _Toc24308 \h </w:instrText>
      </w:r>
      <w:r>
        <w:fldChar w:fldCharType="separate"/>
      </w:r>
      <w:r>
        <w:t>9</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_Toc13471 </w:instrText>
      </w:r>
      <w:r>
        <w:rPr>
          <w:rFonts w:hint="eastAsia" w:ascii="宋体" w:hAnsi="宋体" w:eastAsia="宋体" w:cs="宋体"/>
          <w:bCs/>
          <w:caps/>
          <w:szCs w:val="22"/>
        </w:rPr>
        <w:fldChar w:fldCharType="separate"/>
      </w:r>
      <w:r>
        <w:rPr>
          <w:rFonts w:hint="eastAsia"/>
          <w:lang w:val="en-US" w:eastAsia="zh-CN"/>
        </w:rPr>
        <w:t>3 现场</w:t>
      </w:r>
      <w:r>
        <w:rPr>
          <w:rFonts w:hint="eastAsia"/>
        </w:rPr>
        <w:t>检测</w:t>
      </w:r>
      <w:r>
        <w:tab/>
      </w:r>
      <w:r>
        <w:fldChar w:fldCharType="begin"/>
      </w:r>
      <w:r>
        <w:instrText xml:space="preserve"> PAGEREF _Toc13471 \h </w:instrText>
      </w:r>
      <w:r>
        <w:fldChar w:fldCharType="separate"/>
      </w:r>
      <w:r>
        <w:t>11</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_Toc7053 </w:instrText>
      </w:r>
      <w:r>
        <w:rPr>
          <w:rFonts w:hint="eastAsia" w:ascii="宋体" w:hAnsi="宋体" w:eastAsia="宋体" w:cs="宋体"/>
          <w:bCs/>
          <w:caps/>
          <w:szCs w:val="22"/>
        </w:rPr>
        <w:fldChar w:fldCharType="separate"/>
      </w:r>
      <w:r>
        <w:rPr>
          <w:rFonts w:hint="eastAsia" w:ascii="宋体" w:hAnsi="宋体" w:eastAsia="宋体" w:cs="宋体"/>
          <w:lang w:val="en-US" w:eastAsia="zh-CN"/>
        </w:rPr>
        <w:t>3.1检测设备及辅助设备</w:t>
      </w:r>
      <w:r>
        <w:tab/>
      </w:r>
      <w:r>
        <w:fldChar w:fldCharType="begin"/>
      </w:r>
      <w:r>
        <w:instrText xml:space="preserve"> PAGEREF _Toc7053 \h </w:instrText>
      </w:r>
      <w:r>
        <w:fldChar w:fldCharType="separate"/>
      </w:r>
      <w:r>
        <w:t>11</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_Toc7653 </w:instrText>
      </w:r>
      <w:r>
        <w:rPr>
          <w:rFonts w:hint="eastAsia" w:ascii="宋体" w:hAnsi="宋体" w:eastAsia="宋体" w:cs="宋体"/>
          <w:bCs/>
          <w:caps/>
          <w:szCs w:val="22"/>
        </w:rPr>
        <w:fldChar w:fldCharType="separate"/>
      </w:r>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r>
        <w:tab/>
      </w:r>
      <w:r>
        <w:fldChar w:fldCharType="begin"/>
      </w:r>
      <w:r>
        <w:instrText xml:space="preserve"> PAGEREF _Toc7653 \h </w:instrText>
      </w:r>
      <w:r>
        <w:fldChar w:fldCharType="separate"/>
      </w:r>
      <w:r>
        <w:t>13</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_Toc25765 </w:instrText>
      </w:r>
      <w:r>
        <w:rPr>
          <w:rFonts w:hint="eastAsia" w:ascii="宋体" w:hAnsi="宋体" w:eastAsia="宋体" w:cs="宋体"/>
          <w:bCs/>
          <w:caps/>
          <w:szCs w:val="22"/>
        </w:rPr>
        <w:fldChar w:fldCharType="separate"/>
      </w:r>
      <w:r>
        <w:rPr>
          <w:rFonts w:hint="eastAsia" w:ascii="宋体" w:hAnsi="宋体" w:eastAsia="宋体" w:cs="宋体"/>
          <w:lang w:val="en-US" w:eastAsia="zh-CN"/>
        </w:rPr>
        <w:t>3.3 现场检测记录</w:t>
      </w:r>
      <w:r>
        <w:tab/>
      </w:r>
      <w:r>
        <w:fldChar w:fldCharType="begin"/>
      </w:r>
      <w:r>
        <w:instrText xml:space="preserve"> PAGEREF _Toc25765 \h </w:instrText>
      </w:r>
      <w:r>
        <w:fldChar w:fldCharType="separate"/>
      </w:r>
      <w:r>
        <w:t>13</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_Toc3457 </w:instrText>
      </w:r>
      <w:r>
        <w:rPr>
          <w:rFonts w:hint="eastAsia" w:ascii="宋体" w:hAnsi="宋体" w:eastAsia="宋体" w:cs="宋体"/>
          <w:bCs/>
          <w:caps/>
          <w:szCs w:val="22"/>
        </w:rPr>
        <w:fldChar w:fldCharType="separate"/>
      </w:r>
      <w:r>
        <w:rPr>
          <w:rFonts w:hint="eastAsia" w:ascii="宋体" w:hAnsi="宋体" w:eastAsia="宋体" w:cs="宋体"/>
          <w:lang w:val="en-US" w:eastAsia="zh-CN"/>
        </w:rPr>
        <w:t>3.4现场检测情况录入企业LDAR软件管理系统</w:t>
      </w:r>
      <w:r>
        <w:tab/>
      </w:r>
      <w:r>
        <w:fldChar w:fldCharType="begin"/>
      </w:r>
      <w:r>
        <w:instrText xml:space="preserve"> PAGEREF _Toc3457 \h </w:instrText>
      </w:r>
      <w:r>
        <w:fldChar w:fldCharType="separate"/>
      </w:r>
      <w:r>
        <w:t>13</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_Toc10315 </w:instrText>
      </w:r>
      <w:r>
        <w:rPr>
          <w:rFonts w:hint="eastAsia" w:ascii="宋体" w:hAnsi="宋体" w:eastAsia="宋体" w:cs="宋体"/>
          <w:bCs/>
          <w:caps/>
          <w:szCs w:val="22"/>
        </w:rPr>
        <w:fldChar w:fldCharType="separate"/>
      </w:r>
      <w:r>
        <w:rPr>
          <w:rFonts w:hint="eastAsia"/>
          <w:bCs/>
          <w:lang w:val="en-US" w:eastAsia="zh-CN"/>
        </w:rPr>
        <w:t>4.泄漏检测</w:t>
      </w:r>
      <w:r>
        <w:tab/>
      </w:r>
      <w:r>
        <w:fldChar w:fldCharType="begin"/>
      </w:r>
      <w:r>
        <w:instrText xml:space="preserve"> PAGEREF _Toc10315 \h </w:instrText>
      </w:r>
      <w:r>
        <w:fldChar w:fldCharType="separate"/>
      </w:r>
      <w:r>
        <w:t>13</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_Toc12739 </w:instrText>
      </w:r>
      <w:r>
        <w:rPr>
          <w:rFonts w:hint="eastAsia" w:ascii="宋体" w:hAnsi="宋体" w:eastAsia="宋体" w:cs="宋体"/>
          <w:bCs/>
          <w:caps/>
          <w:szCs w:val="22"/>
        </w:rPr>
        <w:fldChar w:fldCharType="separate"/>
      </w:r>
      <w:r>
        <w:rPr>
          <w:rFonts w:hint="eastAsia" w:ascii="宋体" w:hAnsi="宋体" w:eastAsia="宋体" w:cs="宋体"/>
          <w:lang w:val="en-US" w:eastAsia="zh-CN"/>
        </w:rPr>
        <w:t>4.1泄漏密封点统计</w:t>
      </w:r>
      <w:r>
        <w:tab/>
      </w:r>
      <w:r>
        <w:fldChar w:fldCharType="begin"/>
      </w:r>
      <w:r>
        <w:instrText xml:space="preserve"> PAGEREF _Toc12739 \h </w:instrText>
      </w:r>
      <w:r>
        <w:fldChar w:fldCharType="separate"/>
      </w:r>
      <w:r>
        <w:t>14</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_Toc31237 </w:instrText>
      </w:r>
      <w:r>
        <w:rPr>
          <w:rFonts w:hint="eastAsia" w:ascii="宋体" w:hAnsi="宋体" w:eastAsia="宋体" w:cs="宋体"/>
          <w:bCs/>
          <w:caps/>
          <w:szCs w:val="22"/>
        </w:rPr>
        <w:fldChar w:fldCharType="separate"/>
      </w:r>
      <w:r>
        <w:rPr>
          <w:rFonts w:hint="eastAsia" w:ascii="宋体" w:hAnsi="宋体" w:eastAsia="宋体" w:cs="宋体"/>
          <w:lang w:val="en-US" w:eastAsia="zh-CN"/>
        </w:rPr>
        <w:t>4.2泄漏点维修</w:t>
      </w:r>
      <w:r>
        <w:tab/>
      </w:r>
      <w:r>
        <w:fldChar w:fldCharType="begin"/>
      </w:r>
      <w:r>
        <w:instrText xml:space="preserve"> PAGEREF _Toc31237 \h </w:instrText>
      </w:r>
      <w:r>
        <w:fldChar w:fldCharType="separate"/>
      </w:r>
      <w:r>
        <w:t>14</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_Toc23725 </w:instrText>
      </w:r>
      <w:r>
        <w:rPr>
          <w:rFonts w:hint="eastAsia" w:ascii="宋体" w:hAnsi="宋体" w:eastAsia="宋体" w:cs="宋体"/>
          <w:bCs/>
          <w:caps/>
          <w:szCs w:val="22"/>
        </w:rPr>
        <w:fldChar w:fldCharType="separate"/>
      </w:r>
      <w:r>
        <w:rPr>
          <w:rFonts w:hint="eastAsia"/>
        </w:rPr>
        <w:t>泄漏点</w:t>
      </w:r>
      <w:r>
        <w:t>维修规定</w:t>
      </w:r>
      <w:r>
        <w:tab/>
      </w:r>
      <w:r>
        <w:fldChar w:fldCharType="begin"/>
      </w:r>
      <w:r>
        <w:instrText xml:space="preserve"> PAGEREF _Toc23725 \h </w:instrText>
      </w:r>
      <w:r>
        <w:fldChar w:fldCharType="separate"/>
      </w:r>
      <w:r>
        <w:t>14</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_Toc1566 </w:instrText>
      </w:r>
      <w:r>
        <w:rPr>
          <w:rFonts w:hint="eastAsia" w:ascii="宋体" w:hAnsi="宋体" w:eastAsia="宋体" w:cs="宋体"/>
          <w:bCs/>
          <w:caps/>
          <w:szCs w:val="22"/>
        </w:rPr>
        <w:fldChar w:fldCharType="separate"/>
      </w:r>
      <w:r>
        <w:rPr>
          <w:rFonts w:hint="eastAsia" w:ascii="宋体" w:hAnsi="宋体" w:eastAsia="宋体" w:cs="宋体"/>
          <w:lang w:val="en-US" w:eastAsia="zh-CN"/>
        </w:rPr>
        <w:t>4.3排放量、泄漏量统计</w:t>
      </w:r>
      <w:r>
        <w:tab/>
      </w:r>
      <w:r>
        <w:fldChar w:fldCharType="begin"/>
      </w:r>
      <w:r>
        <w:instrText xml:space="preserve"> PAGEREF _Toc1566 \h </w:instrText>
      </w:r>
      <w:r>
        <w:fldChar w:fldCharType="separate"/>
      </w:r>
      <w:r>
        <w:t>15</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_Toc19074 </w:instrText>
      </w:r>
      <w:r>
        <w:rPr>
          <w:rFonts w:hint="eastAsia" w:ascii="宋体" w:hAnsi="宋体" w:eastAsia="宋体" w:cs="宋体"/>
          <w:bCs/>
          <w:caps/>
          <w:szCs w:val="22"/>
        </w:rPr>
        <w:fldChar w:fldCharType="separate"/>
      </w:r>
      <w:r>
        <w:rPr>
          <w:rFonts w:hint="eastAsia" w:ascii="宋体" w:hAnsi="宋体" w:eastAsia="宋体" w:cs="宋体"/>
          <w:lang w:val="en-US" w:eastAsia="zh-CN"/>
        </w:rPr>
        <w:t>4.4开展 LDAR 环境效益分析，实施 LDAR 后的效益</w:t>
      </w:r>
      <w:r>
        <w:tab/>
      </w:r>
      <w:r>
        <w:fldChar w:fldCharType="begin"/>
      </w:r>
      <w:r>
        <w:instrText xml:space="preserve"> PAGEREF _Toc19074 \h </w:instrText>
      </w:r>
      <w:r>
        <w:fldChar w:fldCharType="separate"/>
      </w:r>
      <w:r>
        <w:t>16</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_Toc23649 </w:instrText>
      </w:r>
      <w:r>
        <w:rPr>
          <w:rFonts w:hint="eastAsia" w:ascii="宋体" w:hAnsi="宋体" w:eastAsia="宋体" w:cs="宋体"/>
          <w:bCs/>
          <w:caps/>
          <w:szCs w:val="22"/>
        </w:rPr>
        <w:fldChar w:fldCharType="separate"/>
      </w:r>
      <w:r>
        <w:rPr>
          <w:rFonts w:hint="eastAsia" w:ascii="宋体" w:hAnsi="宋体" w:eastAsia="宋体" w:cs="宋体"/>
          <w:lang w:val="en-US" w:eastAsia="zh-CN"/>
        </w:rPr>
        <w:t>5.持续LDAR</w:t>
      </w:r>
      <w:r>
        <w:tab/>
      </w:r>
      <w:r>
        <w:fldChar w:fldCharType="begin"/>
      </w:r>
      <w:r>
        <w:instrText xml:space="preserve"> PAGEREF _Toc23649 \h </w:instrText>
      </w:r>
      <w:r>
        <w:fldChar w:fldCharType="separate"/>
      </w:r>
      <w:r>
        <w:t>17</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_Toc26126 </w:instrText>
      </w:r>
      <w:r>
        <w:rPr>
          <w:rFonts w:hint="eastAsia" w:ascii="宋体" w:hAnsi="宋体" w:eastAsia="宋体" w:cs="宋体"/>
          <w:bCs/>
          <w:caps/>
          <w:szCs w:val="22"/>
        </w:rPr>
        <w:fldChar w:fldCharType="separate"/>
      </w:r>
      <w:r>
        <w:rPr>
          <w:rFonts w:hint="eastAsia" w:ascii="宋体" w:hAnsi="宋体" w:eastAsia="宋体" w:cs="宋体"/>
          <w:lang w:val="en-US" w:eastAsia="zh-CN"/>
        </w:rPr>
        <w:t>5.1 LDAR环境和经济效益</w:t>
      </w:r>
      <w:r>
        <w:tab/>
      </w:r>
      <w:r>
        <w:fldChar w:fldCharType="begin"/>
      </w:r>
      <w:r>
        <w:instrText xml:space="preserve"> PAGEREF _Toc26126 \h </w:instrText>
      </w:r>
      <w:r>
        <w:fldChar w:fldCharType="separate"/>
      </w:r>
      <w:r>
        <w:t>17</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_Toc13785 </w:instrText>
      </w:r>
      <w:r>
        <w:rPr>
          <w:rFonts w:hint="eastAsia" w:ascii="宋体" w:hAnsi="宋体" w:eastAsia="宋体" w:cs="宋体"/>
          <w:bCs/>
          <w:caps/>
          <w:szCs w:val="22"/>
        </w:rPr>
        <w:fldChar w:fldCharType="separate"/>
      </w:r>
      <w:r>
        <w:rPr>
          <w:rFonts w:hint="eastAsia" w:ascii="宋体" w:hAnsi="宋体" w:eastAsia="宋体" w:cs="宋体"/>
          <w:lang w:val="en-US" w:eastAsia="zh-CN"/>
        </w:rPr>
        <w:t>5.2下季度LDAR工作计划</w:t>
      </w:r>
      <w:r>
        <w:tab/>
      </w:r>
      <w:r>
        <w:fldChar w:fldCharType="begin"/>
      </w:r>
      <w:r>
        <w:instrText xml:space="preserve"> PAGEREF _Toc13785 \h </w:instrText>
      </w:r>
      <w:r>
        <w:fldChar w:fldCharType="separate"/>
      </w:r>
      <w:r>
        <w:t>17</w:t>
      </w:r>
      <w:r>
        <w:fldChar w:fldCharType="end"/>
      </w:r>
      <w:r>
        <w:rPr>
          <w:rFonts w:hint="eastAsia" w:ascii="宋体" w:hAnsi="宋体" w:eastAsia="宋体" w:cs="宋体"/>
          <w:bCs/>
          <w:caps/>
          <w:szCs w:val="22"/>
        </w:rPr>
        <w:fldChar w:fldCharType="end"/>
      </w:r>
    </w:p>
    <w:p>
      <w:pPr>
        <w:pStyle w:val="9"/>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_Toc16378 </w:instrText>
      </w:r>
      <w:r>
        <w:rPr>
          <w:rFonts w:hint="eastAsia" w:ascii="宋体" w:hAnsi="宋体" w:eastAsia="宋体" w:cs="宋体"/>
          <w:bCs/>
          <w:caps/>
          <w:szCs w:val="22"/>
        </w:rPr>
        <w:fldChar w:fldCharType="separate"/>
      </w:r>
      <w:r>
        <w:rPr>
          <w:rFonts w:hint="eastAsia" w:ascii="宋体" w:hAnsi="宋体" w:eastAsia="宋体" w:cs="宋体"/>
        </w:rPr>
        <w:t>附表</w:t>
      </w:r>
      <w:r>
        <w:rPr>
          <w:rFonts w:hint="eastAsia" w:cs="宋体"/>
          <w:lang w:val="en-US" w:eastAsia="zh-CN"/>
        </w:rPr>
        <w:t>6</w:t>
      </w:r>
      <w:r>
        <w:rPr>
          <w:rFonts w:hint="eastAsia" w:ascii="宋体" w:hAnsi="宋体" w:eastAsia="宋体" w:cs="宋体"/>
        </w:rPr>
        <w:t>.</w:t>
      </w:r>
      <w:r>
        <w:rPr>
          <w:rFonts w:hint="eastAsia" w:cs="宋体"/>
          <w:bCs/>
          <w:caps w:val="0"/>
          <w:spacing w:val="0"/>
          <w:kern w:val="2"/>
          <w:szCs w:val="28"/>
          <w:lang w:val="en-US" w:eastAsia="zh-CN" w:bidi="en-US"/>
        </w:rPr>
        <w:t xml:space="preserve"> 山东威特化工有限公司</w:t>
      </w:r>
      <w:r>
        <w:rPr>
          <w:rFonts w:hint="eastAsia" w:ascii="宋体" w:hAnsi="宋体" w:eastAsia="宋体" w:cs="宋体"/>
          <w:bCs/>
          <w:caps w:val="0"/>
          <w:spacing w:val="0"/>
          <w:kern w:val="2"/>
          <w:szCs w:val="28"/>
          <w:lang w:val="en-US" w:eastAsia="zh-CN" w:bidi="en-US"/>
        </w:rPr>
        <w:t>202</w:t>
      </w:r>
      <w:r>
        <w:rPr>
          <w:rFonts w:hint="eastAsia" w:cs="宋体"/>
          <w:bCs/>
          <w:caps w:val="0"/>
          <w:spacing w:val="0"/>
          <w:kern w:val="2"/>
          <w:szCs w:val="28"/>
          <w:lang w:val="en-US" w:eastAsia="zh-CN" w:bidi="en-US"/>
        </w:rPr>
        <w:t>4</w:t>
      </w:r>
      <w:r>
        <w:rPr>
          <w:rFonts w:hint="eastAsia" w:ascii="宋体" w:hAnsi="宋体" w:eastAsia="宋体" w:cs="宋体"/>
          <w:bCs/>
          <w:caps w:val="0"/>
          <w:spacing w:val="0"/>
          <w:kern w:val="2"/>
          <w:szCs w:val="28"/>
          <w:lang w:val="en-US" w:eastAsia="zh-CN" w:bidi="en-US"/>
        </w:rPr>
        <w:t>年</w:t>
      </w:r>
      <w:r>
        <w:rPr>
          <w:rFonts w:hint="eastAsia" w:cs="宋体"/>
          <w:bCs/>
          <w:caps w:val="0"/>
          <w:spacing w:val="0"/>
          <w:kern w:val="2"/>
          <w:szCs w:val="28"/>
          <w:lang w:val="en-US" w:eastAsia="zh-CN" w:bidi="en-US"/>
        </w:rPr>
        <w:t>第二季度</w:t>
      </w:r>
      <w:r>
        <w:rPr>
          <w:rFonts w:hint="eastAsia" w:ascii="宋体" w:hAnsi="宋体" w:eastAsia="宋体" w:cs="宋体"/>
          <w:bCs/>
          <w:caps w:val="0"/>
          <w:spacing w:val="0"/>
          <w:kern w:val="2"/>
          <w:szCs w:val="28"/>
          <w:lang w:val="en-US" w:eastAsia="zh-CN" w:bidi="en-US"/>
        </w:rPr>
        <w:t>LDAR汇总表</w:t>
      </w:r>
      <w:r>
        <w:tab/>
      </w:r>
      <w:r>
        <w:fldChar w:fldCharType="begin"/>
      </w:r>
      <w:r>
        <w:instrText xml:space="preserve"> PAGEREF _Toc16378 \h </w:instrText>
      </w:r>
      <w:r>
        <w:fldChar w:fldCharType="separate"/>
      </w:r>
      <w:r>
        <w:t>18</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_Toc13631 </w:instrText>
      </w:r>
      <w:r>
        <w:rPr>
          <w:rFonts w:hint="eastAsia" w:ascii="宋体" w:hAnsi="宋体" w:eastAsia="宋体" w:cs="宋体"/>
          <w:bCs/>
          <w:caps/>
          <w:szCs w:val="22"/>
        </w:rPr>
        <w:fldChar w:fldCharType="separate"/>
      </w:r>
      <w:r>
        <w:rPr>
          <w:rFonts w:hint="eastAsia" w:ascii="宋体" w:hAnsi="宋体" w:eastAsia="宋体" w:cs="宋体"/>
          <w:lang w:val="en-US" w:eastAsia="zh-CN"/>
        </w:rPr>
        <w:t>表6.1 山东威特化工有限公司储运装置LDAR 2024年第二轮统计表</w:t>
      </w:r>
      <w:r>
        <w:tab/>
      </w:r>
      <w:r>
        <w:fldChar w:fldCharType="begin"/>
      </w:r>
      <w:r>
        <w:instrText xml:space="preserve"> PAGEREF _Toc13631 \h </w:instrText>
      </w:r>
      <w:r>
        <w:fldChar w:fldCharType="separate"/>
      </w:r>
      <w:r>
        <w:t>19</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_Toc23012 </w:instrText>
      </w:r>
      <w:r>
        <w:rPr>
          <w:rFonts w:hint="eastAsia" w:ascii="宋体" w:hAnsi="宋体" w:eastAsia="宋体" w:cs="宋体"/>
          <w:bCs/>
          <w:caps/>
          <w:szCs w:val="22"/>
        </w:rPr>
        <w:fldChar w:fldCharType="separate"/>
      </w:r>
      <w:r>
        <w:rPr>
          <w:rFonts w:hint="eastAsia" w:ascii="宋体" w:hAnsi="宋体" w:eastAsia="宋体" w:cs="宋体"/>
          <w:lang w:val="en-US" w:eastAsia="zh-CN"/>
        </w:rPr>
        <w:t>表6.2 山东威特化工有限公司2024年第二季度LDAR普查表</w:t>
      </w:r>
      <w:r>
        <w:tab/>
      </w:r>
      <w:r>
        <w:fldChar w:fldCharType="begin"/>
      </w:r>
      <w:r>
        <w:instrText xml:space="preserve"> PAGEREF _Toc23012 \h </w:instrText>
      </w:r>
      <w:r>
        <w:fldChar w:fldCharType="separate"/>
      </w:r>
      <w:r>
        <w:t>20</w:t>
      </w:r>
      <w:r>
        <w:fldChar w:fldCharType="end"/>
      </w:r>
      <w:r>
        <w:rPr>
          <w:rFonts w:hint="eastAsia" w:ascii="宋体" w:hAnsi="宋体" w:eastAsia="宋体" w:cs="宋体"/>
          <w:bCs/>
          <w:caps/>
          <w:szCs w:val="22"/>
        </w:rPr>
        <w:fldChar w:fldCharType="end"/>
      </w:r>
    </w:p>
    <w:p>
      <w:pPr>
        <w:pStyle w:val="10"/>
        <w:tabs>
          <w:tab w:val="right" w:leader="dot" w:pos="8299"/>
        </w:tabs>
      </w:pPr>
      <w:r>
        <w:rPr>
          <w:rFonts w:hint="eastAsia" w:ascii="宋体" w:hAnsi="宋体" w:eastAsia="宋体" w:cs="宋体"/>
          <w:bCs/>
          <w:caps/>
          <w:szCs w:val="22"/>
        </w:rPr>
        <w:fldChar w:fldCharType="begin"/>
      </w:r>
      <w:r>
        <w:rPr>
          <w:rFonts w:hint="eastAsia" w:ascii="宋体" w:hAnsi="宋体" w:eastAsia="宋体" w:cs="宋体"/>
          <w:bCs/>
          <w:caps/>
          <w:szCs w:val="22"/>
        </w:rPr>
        <w:instrText xml:space="preserve"> HYPERLINK \l _Toc24648 </w:instrText>
      </w:r>
      <w:r>
        <w:rPr>
          <w:rFonts w:hint="eastAsia" w:ascii="宋体" w:hAnsi="宋体" w:eastAsia="宋体" w:cs="宋体"/>
          <w:bCs/>
          <w:caps/>
          <w:szCs w:val="22"/>
        </w:rPr>
        <w:fldChar w:fldCharType="separate"/>
      </w:r>
      <w:r>
        <w:rPr>
          <w:rFonts w:hint="eastAsia" w:ascii="宋体" w:hAnsi="宋体" w:eastAsia="宋体" w:cs="宋体"/>
          <w:lang w:val="en-US" w:eastAsia="zh-CN"/>
        </w:rPr>
        <w:t>表6.3  山东威特化工有限公司2024年第二季度泄漏点复检表</w:t>
      </w:r>
      <w:r>
        <w:tab/>
      </w:r>
      <w:r>
        <w:fldChar w:fldCharType="begin"/>
      </w:r>
      <w:r>
        <w:instrText xml:space="preserve"> PAGEREF _Toc24648 \h </w:instrText>
      </w:r>
      <w:r>
        <w:fldChar w:fldCharType="separate"/>
      </w:r>
      <w:r>
        <w:t>21</w:t>
      </w:r>
      <w:r>
        <w:fldChar w:fldCharType="end"/>
      </w:r>
      <w:r>
        <w:rPr>
          <w:rFonts w:hint="eastAsia" w:ascii="宋体" w:hAnsi="宋体" w:eastAsia="宋体" w:cs="宋体"/>
          <w:bCs/>
          <w:caps/>
          <w:szCs w:val="22"/>
        </w:rPr>
        <w:fldChar w:fldCharType="end"/>
      </w:r>
    </w:p>
    <w:p>
      <w:pPr>
        <w:spacing w:line="360" w:lineRule="auto"/>
        <w:ind w:firstLine="3520" w:firstLineChars="1600"/>
        <w:jc w:val="both"/>
        <w:rPr>
          <w:rFonts w:hint="eastAsia" w:ascii="宋体" w:hAnsi="宋体" w:eastAsia="宋体" w:cs="宋体"/>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2"/>
          <w:szCs w:val="22"/>
        </w:rPr>
        <w:fldChar w:fldCharType="end"/>
      </w:r>
    </w:p>
    <w:p>
      <w:pPr>
        <w:pStyle w:val="3"/>
        <w:numPr>
          <w:ilvl w:val="0"/>
          <w:numId w:val="0"/>
        </w:numPr>
        <w:ind w:leftChars="0"/>
        <w:jc w:val="center"/>
        <w:rPr>
          <w:rFonts w:hint="default" w:ascii="宋体" w:hAnsi="宋体" w:eastAsia="宋体" w:cs="宋体"/>
          <w:color w:val="auto"/>
          <w:lang w:val="en-US" w:eastAsia="zh-CN"/>
        </w:rPr>
      </w:pPr>
      <w:bookmarkStart w:id="5" w:name="_Toc4215"/>
      <w:bookmarkStart w:id="6" w:name="_Toc13256"/>
      <w:r>
        <w:rPr>
          <w:rFonts w:hint="eastAsia" w:ascii="宋体" w:hAnsi="宋体" w:cs="宋体"/>
          <w:color w:val="auto"/>
          <w:lang w:val="en-US" w:eastAsia="zh-CN"/>
        </w:rPr>
        <w:t>说明</w:t>
      </w:r>
      <w:bookmarkEnd w:id="5"/>
      <w:bookmarkEnd w:id="6"/>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cs="宋体"/>
          <w:sz w:val="21"/>
          <w:szCs w:val="21"/>
          <w:lang w:eastAsia="zh-CN"/>
        </w:rPr>
        <w:t>检测专用</w:t>
      </w:r>
      <w:r>
        <w:rPr>
          <w:rFonts w:hint="eastAsia" w:ascii="宋体" w:hAnsi="宋体" w:eastAsia="宋体" w:cs="宋体"/>
          <w:sz w:val="21"/>
          <w:szCs w:val="21"/>
        </w:rPr>
        <w:t>章、骑缝章，报告涂改无效。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default"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cs="宋体"/>
          <w:sz w:val="21"/>
          <w:szCs w:val="21"/>
          <w:lang w:val="en-US" w:eastAsia="zh-CN"/>
        </w:rPr>
        <w:t>18754667678</w:t>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eastAsia" w:ascii="宋体" w:hAnsi="宋体" w:cs="宋体"/>
          <w:color w:val="auto"/>
          <w:lang w:val="en-US" w:eastAsia="zh-CN"/>
        </w:rPr>
      </w:pPr>
      <w:bookmarkStart w:id="7" w:name="_Toc17850"/>
      <w:bookmarkStart w:id="8" w:name="_Toc5904"/>
      <w:bookmarkStart w:id="9" w:name="_Toc13271"/>
      <w:r>
        <w:rPr>
          <w:lang w:val="en-US" w:eastAsia="zh-CN"/>
        </w:rPr>
        <w:drawing>
          <wp:anchor distT="0" distB="0" distL="114300" distR="114300" simplePos="0" relativeHeight="251662336"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8"/>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w:t>
      </w:r>
      <w:bookmarkEnd w:id="7"/>
      <w:bookmarkEnd w:id="8"/>
      <w:r>
        <w:rPr>
          <w:rFonts w:hint="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宋体" w:hAnsi="宋体" w:cs="宋体"/>
          <w:color w:val="auto"/>
          <w:lang w:val="en-US" w:eastAsia="zh-CN"/>
        </w:rPr>
      </w:pPr>
      <w:bookmarkStart w:id="11" w:name="_Toc27027"/>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2" w:name="_Toc12519"/>
      <w:bookmarkStart w:id="13" w:name="_Toc23221"/>
      <w:r>
        <w:rPr>
          <w:rFonts w:hint="eastAsia" w:ascii="宋体" w:hAnsi="宋体" w:cs="宋体"/>
          <w:color w:val="auto"/>
          <w:lang w:val="en-US" w:eastAsia="zh-CN"/>
        </w:rPr>
        <w:t>本报告规范性引用文件</w:t>
      </w:r>
      <w:bookmarkEnd w:id="11"/>
      <w:bookmarkEnd w:id="12"/>
      <w:bookmarkEnd w:id="13"/>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lang w:val="zh-CN"/>
        </w:rPr>
      </w:pPr>
    </w:p>
    <w:p>
      <w:pPr>
        <w:pStyle w:val="2"/>
        <w:rPr>
          <w:rFonts w:hint="eastAsia"/>
          <w:lang w:val="zh-CN"/>
        </w:rPr>
      </w:pP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2"/>
        </w:numPr>
        <w:tabs>
          <w:tab w:val="clear" w:pos="312"/>
        </w:tabs>
        <w:bidi w:val="0"/>
        <w:ind w:leftChars="0"/>
        <w:rPr>
          <w:rFonts w:hint="eastAsia" w:ascii="宋体" w:hAnsi="宋体" w:eastAsia="宋体" w:cs="宋体"/>
          <w:color w:val="auto"/>
          <w:lang w:val="en-US" w:eastAsia="zh-CN"/>
        </w:rPr>
      </w:pPr>
      <w:bookmarkStart w:id="14" w:name="_Toc18471"/>
      <w:r>
        <w:rPr>
          <w:rFonts w:hint="eastAsia" w:ascii="宋体" w:hAnsi="宋体" w:eastAsia="宋体" w:cs="宋体"/>
          <w:color w:val="auto"/>
          <w:lang w:val="en-US" w:eastAsia="zh-CN"/>
        </w:rPr>
        <w:t>挥发性有机物（VOC</w:t>
      </w:r>
      <w:r>
        <w:rPr>
          <w:rFonts w:hint="eastAsia" w:ascii="宋体" w:hAnsi="宋体" w:cs="宋体"/>
          <w:b/>
          <w:bCs/>
          <w:color w:val="auto"/>
          <w:sz w:val="21"/>
          <w:szCs w:val="21"/>
          <w:u w:val="none"/>
          <w:lang w:val="en-US" w:eastAsia="zh-CN"/>
        </w:rPr>
        <w:t>s</w:t>
      </w:r>
      <w:r>
        <w:rPr>
          <w:rFonts w:hint="eastAsia" w:ascii="宋体" w:hAnsi="宋体" w:eastAsia="宋体" w:cs="宋体"/>
          <w:color w:val="auto"/>
          <w:lang w:val="en-US" w:eastAsia="zh-CN"/>
        </w:rPr>
        <w:t>）检测结果报告单</w:t>
      </w:r>
      <w:bookmarkEnd w:id="14"/>
    </w:p>
    <w:tbl>
      <w:tblPr>
        <w:tblStyle w:val="12"/>
        <w:tblpPr w:leftFromText="180" w:rightFromText="180" w:vertAnchor="page" w:horzAnchor="page" w:tblpX="1229" w:tblpY="2195"/>
        <w:tblW w:w="498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57"/>
        <w:gridCol w:w="831"/>
        <w:gridCol w:w="1064"/>
        <w:gridCol w:w="1103"/>
        <w:gridCol w:w="348"/>
        <w:gridCol w:w="789"/>
        <w:gridCol w:w="442"/>
        <w:gridCol w:w="795"/>
        <w:gridCol w:w="341"/>
        <w:gridCol w:w="718"/>
        <w:gridCol w:w="18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bidi="ar-SA"/>
              </w:rPr>
            </w:pPr>
            <w:bookmarkStart w:id="15" w:name="_Toc9554"/>
            <w:r>
              <w:rPr>
                <w:rFonts w:hint="eastAsia" w:ascii="宋体" w:hAnsi="宋体" w:cs="宋体"/>
                <w:color w:val="auto"/>
                <w:sz w:val="21"/>
                <w:szCs w:val="21"/>
                <w:lang w:val="en-US" w:eastAsia="zh-CN"/>
              </w:rPr>
              <w:t>名称</w:t>
            </w:r>
          </w:p>
        </w:tc>
        <w:tc>
          <w:tcPr>
            <w:tcW w:w="8262" w:type="dxa"/>
            <w:gridSpan w:val="10"/>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山东威特化工有限公司2024年第二季度挥发性有机物检测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委托单位</w:t>
            </w:r>
          </w:p>
        </w:tc>
        <w:tc>
          <w:tcPr>
            <w:tcW w:w="8262" w:type="dxa"/>
            <w:gridSpan w:val="10"/>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山东威特化工有限公司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检测单位</w:t>
            </w:r>
          </w:p>
        </w:tc>
        <w:tc>
          <w:tcPr>
            <w:tcW w:w="8262" w:type="dxa"/>
            <w:gridSpan w:val="10"/>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检测地点</w:t>
            </w:r>
          </w:p>
        </w:tc>
        <w:tc>
          <w:tcPr>
            <w:tcW w:w="8262" w:type="dxa"/>
            <w:gridSpan w:val="10"/>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山东省东营市垦利区胜坨镇山东威特化工有限公司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388" w:type="dxa"/>
            <w:gridSpan w:val="2"/>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检测起始日期</w:t>
            </w:r>
          </w:p>
        </w:tc>
        <w:tc>
          <w:tcPr>
            <w:tcW w:w="2515" w:type="dxa"/>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2024年05月22日</w:t>
            </w:r>
          </w:p>
        </w:tc>
        <w:tc>
          <w:tcPr>
            <w:tcW w:w="2026" w:type="dxa"/>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检测截止日期</w:t>
            </w:r>
          </w:p>
        </w:tc>
        <w:tc>
          <w:tcPr>
            <w:tcW w:w="2890" w:type="dxa"/>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2024年05月24日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检测设备</w:t>
            </w:r>
          </w:p>
        </w:tc>
        <w:tc>
          <w:tcPr>
            <w:tcW w:w="4135" w:type="dxa"/>
            <w:gridSpan w:val="5"/>
            <w:noWrap w:val="0"/>
            <w:vAlign w:val="center"/>
          </w:tcPr>
          <w:p>
            <w:pPr>
              <w:pStyle w:val="17"/>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仪器名称：便携式有毒挥发气体分析仪、手持气象站</w:t>
            </w:r>
          </w:p>
          <w:p>
            <w:pPr>
              <w:pStyle w:val="17"/>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仪器型号：ZR-3130、WS-30</w:t>
            </w:r>
          </w:p>
          <w:p>
            <w:pPr>
              <w:pStyle w:val="17"/>
              <w:spacing w:line="360" w:lineRule="auto"/>
              <w:jc w:val="left"/>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仪器编号：T-003、T-004、T-005、T-008</w:t>
            </w:r>
          </w:p>
        </w:tc>
        <w:tc>
          <w:tcPr>
            <w:tcW w:w="1578" w:type="dxa"/>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表征方式</w:t>
            </w:r>
          </w:p>
        </w:tc>
        <w:tc>
          <w:tcPr>
            <w:tcW w:w="2549" w:type="dxa"/>
            <w:gridSpan w:val="2"/>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vMerge w:val="restart"/>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仪器校准</w:t>
            </w:r>
          </w:p>
        </w:tc>
        <w:tc>
          <w:tcPr>
            <w:tcW w:w="4135" w:type="dxa"/>
            <w:gridSpan w:val="5"/>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响应时间</w:t>
            </w:r>
          </w:p>
        </w:tc>
        <w:tc>
          <w:tcPr>
            <w:tcW w:w="4127" w:type="dxa"/>
            <w:gridSpan w:val="5"/>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vMerge w:val="continue"/>
            <w:noWrap w:val="0"/>
            <w:vAlign w:val="center"/>
          </w:tcPr>
          <w:p>
            <w:pPr>
              <w:pStyle w:val="17"/>
              <w:spacing w:line="360" w:lineRule="auto"/>
              <w:jc w:val="center"/>
              <w:rPr>
                <w:rFonts w:hint="eastAsia" w:ascii="宋体" w:hAnsi="宋体" w:eastAsia="宋体" w:cs="宋体"/>
                <w:color w:val="auto"/>
                <w:sz w:val="21"/>
                <w:szCs w:val="21"/>
              </w:rPr>
            </w:pPr>
          </w:p>
        </w:tc>
        <w:tc>
          <w:tcPr>
            <w:tcW w:w="4135" w:type="dxa"/>
            <w:gridSpan w:val="5"/>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示值误差/示值漂移</w:t>
            </w:r>
          </w:p>
        </w:tc>
        <w:tc>
          <w:tcPr>
            <w:tcW w:w="4127" w:type="dxa"/>
            <w:gridSpan w:val="5"/>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方法依据</w:t>
            </w:r>
          </w:p>
        </w:tc>
        <w:tc>
          <w:tcPr>
            <w:tcW w:w="8262" w:type="dxa"/>
            <w:gridSpan w:val="10"/>
            <w:noWrap w:val="0"/>
            <w:vAlign w:val="top"/>
          </w:tcPr>
          <w:p>
            <w:pPr>
              <w:pStyle w:val="17"/>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判定依据</w:t>
            </w:r>
          </w:p>
        </w:tc>
        <w:tc>
          <w:tcPr>
            <w:tcW w:w="8262" w:type="dxa"/>
            <w:gridSpan w:val="10"/>
            <w:noWrap w:val="0"/>
            <w:vAlign w:val="center"/>
          </w:tcPr>
          <w:p>
            <w:pPr>
              <w:pStyle w:val="17"/>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《石油化学工业污染物排放标准》（GB 31571-2015）</w:t>
            </w:r>
          </w:p>
          <w:p>
            <w:pPr>
              <w:pStyle w:val="17"/>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结果说明</w:t>
            </w:r>
          </w:p>
        </w:tc>
        <w:tc>
          <w:tcPr>
            <w:tcW w:w="8262" w:type="dxa"/>
            <w:gridSpan w:val="10"/>
            <w:noWrap w:val="0"/>
            <w:vAlign w:val="center"/>
          </w:tcPr>
          <w:p>
            <w:pPr>
              <w:pStyle w:val="17"/>
              <w:spacing w:line="360" w:lineRule="auto"/>
              <w:jc w:val="left"/>
              <w:rPr>
                <w:rFonts w:hint="default"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rPr>
              <w:t>本轮项目检测：受控密封点5441个，实际检测密封点5438个，不可达密封点3个，发现泄漏密封点4个，已修复合格泄漏点4个，泄漏率为:0.07%。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检测人员</w:t>
            </w:r>
          </w:p>
        </w:tc>
        <w:tc>
          <w:tcPr>
            <w:tcW w:w="8262" w:type="dxa"/>
            <w:gridSpan w:val="10"/>
            <w:noWrap w:val="0"/>
            <w:vAlign w:val="center"/>
          </w:tcPr>
          <w:p>
            <w:pPr>
              <w:pStyle w:val="17"/>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 、许明星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编制人</w:t>
            </w:r>
          </w:p>
        </w:tc>
        <w:tc>
          <w:tcPr>
            <w:tcW w:w="1895" w:type="dxa"/>
            <w:gridSpan w:val="2"/>
            <w:noWrap w:val="0"/>
            <w:vAlign w:val="center"/>
          </w:tcPr>
          <w:p>
            <w:pPr>
              <w:pStyle w:val="17"/>
              <w:spacing w:line="360" w:lineRule="auto"/>
              <w:jc w:val="center"/>
              <w:rPr>
                <w:rFonts w:hint="eastAsia" w:ascii="宋体" w:hAnsi="宋体" w:eastAsia="宋体" w:cs="宋体"/>
                <w:color w:val="auto"/>
                <w:sz w:val="21"/>
                <w:szCs w:val="21"/>
              </w:rPr>
            </w:pPr>
          </w:p>
        </w:tc>
        <w:tc>
          <w:tcPr>
            <w:tcW w:w="1103" w:type="dxa"/>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审核人</w:t>
            </w:r>
          </w:p>
        </w:tc>
        <w:tc>
          <w:tcPr>
            <w:tcW w:w="1579" w:type="dxa"/>
            <w:gridSpan w:val="3"/>
            <w:noWrap w:val="0"/>
            <w:vAlign w:val="center"/>
          </w:tcPr>
          <w:p>
            <w:pPr>
              <w:pStyle w:val="17"/>
              <w:spacing w:line="360" w:lineRule="auto"/>
              <w:jc w:val="center"/>
              <w:rPr>
                <w:rFonts w:hint="eastAsia" w:ascii="宋体" w:hAnsi="宋体" w:eastAsia="宋体" w:cs="宋体"/>
                <w:color w:val="auto"/>
                <w:sz w:val="21"/>
                <w:szCs w:val="21"/>
              </w:rPr>
            </w:pPr>
          </w:p>
        </w:tc>
        <w:tc>
          <w:tcPr>
            <w:tcW w:w="1854" w:type="dxa"/>
            <w:gridSpan w:val="3"/>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授权签字人</w:t>
            </w:r>
          </w:p>
        </w:tc>
        <w:tc>
          <w:tcPr>
            <w:tcW w:w="1831" w:type="dxa"/>
            <w:noWrap w:val="0"/>
            <w:vAlign w:val="center"/>
          </w:tcPr>
          <w:p>
            <w:pPr>
              <w:pStyle w:val="17"/>
              <w:spacing w:line="360" w:lineRule="auto"/>
              <w:jc w:val="center"/>
              <w:rPr>
                <w:rFonts w:hint="eastAsia" w:ascii="宋体" w:hAnsi="宋体" w:eastAsia="宋体" w:cs="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557" w:type="dxa"/>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编制时间</w:t>
            </w:r>
          </w:p>
        </w:tc>
        <w:tc>
          <w:tcPr>
            <w:tcW w:w="1895" w:type="dxa"/>
            <w:gridSpan w:val="2"/>
            <w:noWrap w:val="0"/>
            <w:vAlign w:val="center"/>
          </w:tcPr>
          <w:p>
            <w:pPr>
              <w:pStyle w:val="17"/>
              <w:spacing w:line="360" w:lineRule="auto"/>
              <w:jc w:val="center"/>
              <w:rPr>
                <w:rFonts w:hint="eastAsia" w:ascii="宋体" w:hAnsi="宋体" w:eastAsia="宋体" w:cs="宋体"/>
                <w:color w:val="auto"/>
                <w:sz w:val="21"/>
                <w:szCs w:val="21"/>
              </w:rPr>
            </w:pPr>
          </w:p>
        </w:tc>
        <w:tc>
          <w:tcPr>
            <w:tcW w:w="1103" w:type="dxa"/>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审核时间</w:t>
            </w:r>
          </w:p>
        </w:tc>
        <w:tc>
          <w:tcPr>
            <w:tcW w:w="1579" w:type="dxa"/>
            <w:gridSpan w:val="3"/>
            <w:noWrap w:val="0"/>
            <w:vAlign w:val="center"/>
          </w:tcPr>
          <w:p>
            <w:pPr>
              <w:pStyle w:val="17"/>
              <w:spacing w:line="360" w:lineRule="auto"/>
              <w:jc w:val="center"/>
              <w:rPr>
                <w:rFonts w:hint="eastAsia" w:ascii="宋体" w:hAnsi="宋体" w:eastAsia="宋体" w:cs="宋体"/>
                <w:color w:val="auto"/>
                <w:sz w:val="21"/>
                <w:szCs w:val="21"/>
              </w:rPr>
            </w:pPr>
          </w:p>
        </w:tc>
        <w:tc>
          <w:tcPr>
            <w:tcW w:w="1854" w:type="dxa"/>
            <w:gridSpan w:val="3"/>
            <w:noWrap w:val="0"/>
            <w:vAlign w:val="center"/>
          </w:tcPr>
          <w:p>
            <w:pPr>
              <w:pStyle w:val="17"/>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签字时间</w:t>
            </w:r>
          </w:p>
        </w:tc>
        <w:tc>
          <w:tcPr>
            <w:tcW w:w="1831" w:type="dxa"/>
            <w:noWrap w:val="0"/>
            <w:vAlign w:val="center"/>
          </w:tcPr>
          <w:p>
            <w:pPr>
              <w:pStyle w:val="17"/>
              <w:spacing w:line="360" w:lineRule="auto"/>
              <w:jc w:val="center"/>
              <w:rPr>
                <w:rFonts w:hint="eastAsia" w:ascii="宋体" w:hAnsi="宋体" w:eastAsia="宋体" w:cs="宋体"/>
                <w:color w:val="auto"/>
                <w:sz w:val="21"/>
                <w:szCs w:val="21"/>
              </w:rPr>
            </w:pPr>
          </w:p>
        </w:tc>
      </w:tr>
      <w:bookmarkEnd w:id="15"/>
    </w:tbl>
    <w:p>
      <w:pPr>
        <w:rPr>
          <w:rFonts w:hint="eastAsia" w:ascii="宋体" w:hAnsi="宋体" w:eastAsia="宋体" w:cs="宋体"/>
          <w:color w:val="auto"/>
          <w:lang w:val="en-US" w:eastAsia="zh-CN"/>
        </w:rPr>
      </w:pPr>
    </w:p>
    <w:p>
      <w:pPr>
        <w:pStyle w:val="2"/>
        <w:rPr>
          <w:rFonts w:hint="eastAsia"/>
          <w:lang w:val="en-US" w:eastAsia="zh-CN"/>
        </w:rPr>
      </w:pPr>
    </w:p>
    <w:p>
      <w:pPr>
        <w:numPr>
          <w:ilvl w:val="0"/>
          <w:numId w:val="0"/>
        </w:numPr>
        <w:rPr>
          <w:rFonts w:hint="default"/>
          <w:lang w:val="en-US" w:eastAsia="zh-CN"/>
        </w:rPr>
      </w:pPr>
    </w:p>
    <w:p>
      <w:pPr>
        <w:tabs>
          <w:tab w:val="left" w:pos="1263"/>
        </w:tabs>
        <w:bidi w:val="0"/>
        <w:jc w:val="left"/>
        <w:rPr>
          <w:rFonts w:hint="default"/>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default" w:ascii="宋体" w:hAnsi="宋体" w:eastAsia="宋体"/>
          <w:sz w:val="28"/>
          <w:szCs w:val="28"/>
          <w:lang w:val="en-US" w:eastAsia="zh-CN"/>
        </w:rPr>
      </w:pPr>
      <w:bookmarkStart w:id="16" w:name="_Toc476727230"/>
      <w:bookmarkStart w:id="17" w:name="_Toc25835"/>
      <w:bookmarkStart w:id="18" w:name="_Toc6325"/>
      <w:bookmarkStart w:id="19" w:name="_Toc25630"/>
      <w:bookmarkStart w:id="20" w:name="_Toc5150"/>
      <w:r>
        <w:rPr>
          <w:rFonts w:hint="eastAsia" w:ascii="宋体" w:hAnsi="宋体"/>
          <w:sz w:val="28"/>
          <w:szCs w:val="28"/>
          <w:lang w:val="en-US" w:eastAsia="zh-CN"/>
        </w:rPr>
        <w:t>1.1</w:t>
      </w:r>
      <w:bookmarkEnd w:id="16"/>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lang w:eastAsia="zh-CN"/>
        </w:rPr>
      </w:pPr>
      <w:r>
        <w:rPr>
          <w:rFonts w:hint="eastAsia" w:ascii="宋体" w:hAnsi="宋体"/>
          <w:szCs w:val="21"/>
        </w:rPr>
        <w:t>企业名称</w:t>
      </w:r>
      <w:r>
        <w:rPr>
          <w:rFonts w:ascii="宋体" w:hAnsi="宋体"/>
          <w:szCs w:val="21"/>
        </w:rPr>
        <w:t>：</w:t>
      </w:r>
      <w:r>
        <w:rPr>
          <w:rFonts w:hint="eastAsia" w:ascii="宋体" w:hAnsi="宋体" w:cs="宋体"/>
          <w:bCs/>
          <w:sz w:val="21"/>
          <w:szCs w:val="21"/>
          <w:lang w:val="en-US" w:eastAsia="zh-CN"/>
        </w:rPr>
        <w:t>山东威特化工有限公司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lang w:val="en-US" w:eastAsia="zh-CN"/>
        </w:rPr>
        <w:t>企业</w:t>
      </w:r>
      <w:r>
        <w:rPr>
          <w:rFonts w:ascii="宋体" w:hAnsi="宋体"/>
          <w:szCs w:val="21"/>
        </w:rPr>
        <w:t>性质</w:t>
      </w:r>
      <w:r>
        <w:rPr>
          <w:rFonts w:hint="eastAsia" w:ascii="宋体" w:hAnsi="宋体"/>
          <w:szCs w:val="21"/>
          <w:lang w:eastAsia="zh-CN"/>
        </w:rPr>
        <w:t>：</w:t>
      </w:r>
      <w:r>
        <w:rPr>
          <w:rFonts w:hint="eastAsia" w:ascii="宋体" w:hAnsi="宋体" w:cs="宋体"/>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rPr>
        <w:t>企业</w:t>
      </w:r>
      <w:r>
        <w:rPr>
          <w:rFonts w:ascii="宋体" w:hAnsi="宋体"/>
          <w:szCs w:val="21"/>
        </w:rPr>
        <w:t>地址：</w:t>
      </w:r>
      <w:r>
        <w:rPr>
          <w:rFonts w:hint="eastAsia" w:ascii="宋体" w:hAnsi="宋体" w:cs="宋体"/>
          <w:color w:val="auto"/>
          <w:sz w:val="21"/>
          <w:szCs w:val="21"/>
          <w:lang w:val="en-US" w:eastAsia="zh-CN"/>
        </w:rPr>
        <w:t>山东省东营市垦利区胜坨镇山东威特化工有限公司</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inorEastAsia" w:hAnsiTheme="minorEastAsia" w:eastAsiaTheme="minorEastAsia" w:cstheme="minorEastAsia"/>
          <w:sz w:val="21"/>
          <w:szCs w:val="21"/>
          <w:lang w:val="en-US" w:eastAsia="zh-CN"/>
        </w:rPr>
      </w:pPr>
      <w:bookmarkStart w:id="21" w:name="_Toc1029"/>
      <w:r>
        <w:rPr>
          <w:rFonts w:hint="eastAsia" w:ascii="宋体" w:hAnsi="宋体" w:eastAsia="宋体"/>
          <w:sz w:val="28"/>
          <w:szCs w:val="28"/>
          <w:lang w:val="en-US" w:eastAsia="zh-CN"/>
        </w:rPr>
        <w:t>1.2企业简介</w:t>
      </w:r>
      <w:bookmarkEnd w:id="21"/>
      <w:bookmarkStart w:id="22" w:name="_Toc472"/>
      <w:bookmarkStart w:id="23" w:name="_Toc15218"/>
      <w:bookmarkStart w:id="24" w:name="_Toc1109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i w:val="0"/>
          <w:iCs w:val="0"/>
          <w:caps w:val="0"/>
          <w:color w:val="000000"/>
          <w:spacing w:val="0"/>
          <w:sz w:val="21"/>
          <w:szCs w:val="21"/>
          <w:shd w:val="clear" w:fill="FFFFFF"/>
          <w:lang w:eastAsia="zh-CN"/>
        </w:rPr>
        <w:t>山东威特化工有限公司</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pPr>
        <w:pStyle w:val="4"/>
        <w:numPr>
          <w:ilvl w:val="1"/>
          <w:numId w:val="0"/>
        </w:numPr>
        <w:ind w:leftChars="0"/>
        <w:rPr>
          <w:rFonts w:hint="eastAsia" w:ascii="宋体" w:hAnsi="宋体"/>
          <w:sz w:val="28"/>
          <w:szCs w:val="28"/>
          <w:lang w:val="en-US" w:eastAsia="zh-CN"/>
        </w:rPr>
      </w:pPr>
      <w:bookmarkStart w:id="25" w:name="_Toc18144"/>
      <w:r>
        <w:rPr>
          <w:rFonts w:hint="eastAsia" w:ascii="宋体" w:hAnsi="宋体"/>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2024年05月22日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安环部</w:t>
            </w:r>
          </w:p>
        </w:tc>
        <w:tc>
          <w:tcPr>
            <w:tcW w:w="170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11175"/>
      <w:bookmarkStart w:id="27" w:name="_Toc6549"/>
      <w:bookmarkStart w:id="28" w:name="_Toc4462"/>
    </w:p>
    <w:p>
      <w:pPr>
        <w:pStyle w:val="3"/>
        <w:numPr>
          <w:ilvl w:val="0"/>
          <w:numId w:val="0"/>
        </w:numPr>
        <w:ind w:leftChars="0"/>
        <w:rPr>
          <w:rFonts w:hint="default" w:asciiTheme="minorEastAsia" w:hAnsiTheme="minorEastAsia" w:eastAsiaTheme="minorEastAsia" w:cstheme="minorEastAsia"/>
          <w:color w:val="auto"/>
          <w:lang w:val="en-US"/>
        </w:rPr>
      </w:pPr>
      <w:bookmarkStart w:id="29" w:name="_Toc23759"/>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30135"/>
      <w:bookmarkStart w:id="31" w:name="_Toc15548"/>
      <w:bookmarkStart w:id="32" w:name="_Toc603"/>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lang w:val="en-US" w:eastAsia="zh-CN"/>
        </w:rPr>
      </w:pPr>
      <w:bookmarkStart w:id="33" w:name="_Toc31983"/>
      <w:r>
        <w:rPr>
          <w:rFonts w:hint="eastAsia" w:asciiTheme="minorEastAsia" w:hAnsiTheme="minorEastAsia" w:eastAsiaTheme="minorEastAsia" w:cstheme="minorEastAsia"/>
          <w:lang w:val="en-US" w:eastAsia="zh-CN"/>
        </w:rPr>
        <w:t>2.1</w:t>
      </w:r>
      <w:r>
        <w:rPr>
          <w:rFonts w:hint="eastAsia"/>
          <w:lang w:val="en-US" w:eastAsia="zh-CN"/>
        </w:rPr>
        <w:t>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现场安全监督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数据分析及报告编制</w:t>
            </w: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许明星</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eastAsia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山东威特化工有限公司LDAR实施计划：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刘吉文、李浩男、许明星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bl>
    <w:p>
      <w:pPr>
        <w:pStyle w:val="4"/>
        <w:numPr>
          <w:ilvl w:val="1"/>
          <w:numId w:val="0"/>
        </w:numPr>
        <w:bidi w:val="0"/>
        <w:ind w:leftChars="0"/>
        <w:rPr>
          <w:rFonts w:hint="eastAsia" w:ascii="宋体" w:hAnsi="宋体" w:eastAsia="宋体" w:cs="宋体"/>
          <w:lang w:val="en-US" w:eastAsia="zh-CN"/>
        </w:rPr>
      </w:pPr>
      <w:bookmarkStart w:id="34" w:name="_Toc13645"/>
      <w:bookmarkStart w:id="35" w:name="_Toc417"/>
      <w:bookmarkStart w:id="36" w:name="_Toc10338"/>
      <w:bookmarkStart w:id="37" w:name="_Toc476727239"/>
    </w:p>
    <w:p>
      <w:pPr>
        <w:pStyle w:val="4"/>
        <w:numPr>
          <w:ilvl w:val="1"/>
          <w:numId w:val="0"/>
        </w:numPr>
        <w:bidi w:val="0"/>
        <w:ind w:leftChars="0"/>
        <w:rPr>
          <w:rFonts w:hint="eastAsia" w:ascii="宋体" w:hAnsi="宋体" w:eastAsia="宋体" w:cs="宋体"/>
          <w:lang w:val="en-US" w:eastAsia="zh-CN"/>
        </w:rPr>
      </w:pPr>
      <w:bookmarkStart w:id="38" w:name="_Toc15989"/>
      <w:r>
        <w:rPr>
          <w:rFonts w:hint="eastAsia" w:ascii="宋体" w:hAnsi="宋体" w:eastAsia="宋体" w:cs="宋体"/>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8306"/>
      <w:bookmarkStart w:id="40" w:name="_Toc17243"/>
      <w:bookmarkStart w:id="41" w:name="_Toc26954"/>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pStyle w:val="2"/>
        <w:rPr>
          <w:rFonts w:hint="eastAsia"/>
        </w:rPr>
      </w:pPr>
    </w:p>
    <w:p>
      <w:pPr>
        <w:spacing w:line="276" w:lineRule="auto"/>
        <w:ind w:left="420"/>
        <w:jc w:val="center"/>
        <w:outlineLvl w:val="0"/>
        <w:rPr>
          <w:rFonts w:ascii="宋体" w:hAnsi="宋体"/>
          <w:b/>
          <w:bCs w:val="0"/>
          <w:sz w:val="21"/>
          <w:szCs w:val="21"/>
        </w:rPr>
      </w:pPr>
      <w:bookmarkStart w:id="42" w:name="_Toc32035"/>
      <w:r>
        <w:rPr>
          <w:rFonts w:hint="eastAsia" w:ascii="宋体" w:hAnsi="宋体"/>
          <w:b/>
          <w:bCs w:val="0"/>
          <w:sz w:val="21"/>
          <w:szCs w:val="21"/>
        </w:rPr>
        <w:t>检测</w:t>
      </w:r>
      <w:r>
        <w:rPr>
          <w:rFonts w:ascii="宋体" w:hAnsi="宋体"/>
          <w:b/>
          <w:bCs w:val="0"/>
          <w:sz w:val="21"/>
          <w:szCs w:val="21"/>
        </w:rPr>
        <w:t>密封点识别及编号流程</w:t>
      </w:r>
      <w:bookmarkEnd w:id="39"/>
      <w:bookmarkEnd w:id="40"/>
      <w:bookmarkEnd w:id="41"/>
      <w:bookmarkEnd w:id="42"/>
    </w:p>
    <w:p>
      <w:pPr>
        <w:spacing w:line="276" w:lineRule="auto"/>
        <w:ind w:left="420"/>
        <w:jc w:val="center"/>
        <w:rPr>
          <w:rFonts w:ascii="宋体" w:hAnsi="宋体"/>
          <w:sz w:val="21"/>
          <w:szCs w:val="21"/>
        </w:rPr>
      </w:pPr>
      <w:r>
        <w:rPr>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bookmarkStart w:id="43" w:name="_Toc10566"/>
      <w:bookmarkStart w:id="44" w:name="_Toc28271"/>
      <w:bookmarkStart w:id="45" w:name="_Toc15082"/>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6" w:name="_Toc15498"/>
      <w:r>
        <w:rPr>
          <w:rFonts w:hint="eastAsia" w:ascii="宋体" w:hAnsi="宋体" w:eastAsia="宋体" w:cs="宋体"/>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2"/>
        <w:rPr>
          <w:rFonts w:hint="eastAsia"/>
        </w:rPr>
      </w:pPr>
    </w:p>
    <w:p>
      <w:pPr>
        <w:pStyle w:val="4"/>
        <w:numPr>
          <w:ilvl w:val="1"/>
          <w:numId w:val="0"/>
        </w:numPr>
        <w:bidi w:val="0"/>
        <w:ind w:leftChars="0"/>
        <w:rPr>
          <w:rFonts w:hint="default" w:ascii="宋体" w:hAnsi="宋体" w:eastAsia="宋体" w:cs="宋体"/>
          <w:lang w:val="en-US" w:eastAsia="zh-CN"/>
        </w:rPr>
      </w:pPr>
      <w:bookmarkStart w:id="47" w:name="_Toc15473"/>
      <w:r>
        <w:rPr>
          <w:rFonts w:hint="eastAsia" w:ascii="宋体" w:hAnsi="宋体" w:eastAsia="宋体" w:cs="宋体"/>
          <w:lang w:val="en-US" w:eastAsia="zh-CN"/>
        </w:rPr>
        <w:t>2.4物料状态分析表</w:t>
      </w:r>
      <w:bookmarkEnd w:id="47"/>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02"/>
        <w:gridCol w:w="4971"/>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b/>
                <w:bCs/>
                <w:color w:val="000000" w:themeColor="text1"/>
                <w:lang w:val="en-US" w:eastAsia="zh-CN"/>
                <w14:textFill>
                  <w14:solidFill>
                    <w14:schemeClr w14:val="tx1"/>
                  </w14:solidFill>
                </w14:textFill>
              </w:rPr>
            </w:pPr>
            <w:r>
              <w:rPr>
                <w:rFonts w:hint="eastAsia"/>
                <w:b w:val="0"/>
                <w:bCs w:val="0"/>
                <w:sz w:val="24"/>
                <w:szCs w:val="24"/>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序号</w:t>
            </w:r>
          </w:p>
        </w:tc>
        <w:tc>
          <w:tcPr>
            <w:tcW w:w="127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物料名称</w:t>
            </w:r>
          </w:p>
        </w:tc>
        <w:tc>
          <w:tcPr>
            <w:tcW w:w="1012"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是否为涉VOC物料</w:t>
            </w:r>
          </w:p>
        </w:tc>
        <w:tc>
          <w:tcPr>
            <w:tcW w:w="1102"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物料状态辨识条件</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气体</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bl>
    <w:p>
      <w:pPr>
        <w:rPr>
          <w:rFonts w:hint="eastAsia"/>
          <w:lang w:val="en-US" w:eastAsia="zh-CN"/>
        </w:rPr>
      </w:pPr>
    </w:p>
    <w:p>
      <w:pPr>
        <w:pStyle w:val="2"/>
        <w:rPr>
          <w:rFonts w:hint="eastAsia"/>
          <w:lang w:val="en-US" w:eastAsia="zh-CN"/>
        </w:rPr>
      </w:pPr>
    </w:p>
    <w:p>
      <w:pPr>
        <w:pStyle w:val="4"/>
        <w:numPr>
          <w:ilvl w:val="1"/>
          <w:numId w:val="0"/>
        </w:numPr>
        <w:bidi w:val="0"/>
        <w:ind w:leftChars="0"/>
        <w:rPr>
          <w:rFonts w:hint="default" w:ascii="宋体" w:hAnsi="宋体" w:eastAsia="宋体" w:cs="宋体"/>
          <w:lang w:val="en-US" w:eastAsia="zh-CN"/>
        </w:rPr>
      </w:pPr>
      <w:bookmarkStart w:id="48" w:name="_Toc12569"/>
      <w:r>
        <w:rPr>
          <w:rFonts w:hint="eastAsia" w:ascii="宋体" w:hAnsi="宋体" w:eastAsia="宋体" w:cs="宋体"/>
          <w:lang w:val="en-US" w:eastAsia="zh-CN"/>
        </w:rPr>
        <w:t>2.5受控装置分析清单</w:t>
      </w:r>
      <w:bookmarkEnd w:id="48"/>
    </w:p>
    <w:bookmarkEnd w:id="37"/>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6"/>
        <w:gridCol w:w="2278"/>
        <w:gridCol w:w="1586"/>
        <w:gridCol w:w="3390"/>
        <w:gridCol w:w="16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宋体" w:hAnsi="宋体" w:eastAsia="宋体" w:cs="宋体"/>
                <w:b w:val="0"/>
                <w:bCs w:val="0"/>
                <w:color w:val="000000" w:themeColor="text1"/>
                <w14:textFill>
                  <w14:solidFill>
                    <w14:schemeClr w14:val="tx1"/>
                  </w14:solidFill>
                </w14:textFill>
              </w:rPr>
            </w:pPr>
            <w:bookmarkStart w:id="49" w:name="_Toc12509"/>
            <w:bookmarkStart w:id="50" w:name="_Toc17776"/>
            <w:r>
              <w:rPr>
                <w:rFonts w:hint="eastAsia" w:ascii="宋体" w:hAnsi="宋体" w:eastAsia="宋体" w:cs="宋体"/>
                <w:b w:val="0"/>
                <w:bCs w:val="0"/>
                <w:color w:val="000000" w:themeColor="text1"/>
                <w:sz w:val="24"/>
                <w:szCs w:val="24"/>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7"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原因</w:t>
            </w:r>
          </w:p>
        </w:tc>
        <w:tc>
          <w:tcPr>
            <w:tcW w:w="840"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5000" w:type="pct"/>
            <w:gridSpan w:val="5"/>
            <w:tcBorders>
              <w:tl2br w:val="nil"/>
              <w:tr2bl w:val="nil"/>
            </w:tcBorders>
            <w:vAlign w:val="center"/>
          </w:tcPr>
          <w:p>
            <w:pPr>
              <w:pStyle w:val="2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7"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1</w:t>
            </w:r>
          </w:p>
        </w:tc>
        <w:tc>
          <w:tcPr>
            <w:tcW w:w="117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820"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lang w:val="en-US" w:eastAsia="zh-CN"/>
              </w:rPr>
              <w:t>是</w:t>
            </w:r>
          </w:p>
        </w:tc>
        <w:tc>
          <w:tcPr>
            <w:tcW w:w="1753" w:type="pct"/>
            <w:tcBorders>
              <w:tl2br w:val="nil"/>
              <w:tr2bl w:val="nil"/>
            </w:tcBorders>
            <w:vAlign w:val="center"/>
          </w:tcPr>
          <w:p>
            <w:pPr>
              <w:pStyle w:val="26"/>
              <w:keepNext w:val="0"/>
              <w:keepLines w:val="0"/>
              <w:suppressLineNumbers w:val="0"/>
              <w:bidi w:val="0"/>
              <w:spacing w:before="0" w:beforeAutospacing="0" w:after="0" w:afterAutospacing="0"/>
              <w:ind w:right="0" w:rightChars="0" w:firstLine="0" w:firstLineChars="0"/>
              <w:jc w:val="both"/>
              <w:rPr>
                <w:rFonts w:hint="default" w:ascii="宋体" w:hAnsi="宋体" w:eastAsia="宋体" w:cs="宋体"/>
                <w:color w:val="auto"/>
                <w:sz w:val="21"/>
                <w:szCs w:val="22"/>
                <w:lang w:val="en-US" w:eastAsia="zh-CN" w:bidi="ar-SA"/>
              </w:rPr>
            </w:pPr>
            <w:r>
              <w:rPr>
                <w:rFonts w:hint="eastAsia" w:ascii="宋体" w:hAnsi="宋体" w:eastAsia="宋体" w:cs="宋体"/>
                <w:lang w:val="en-US" w:eastAsia="zh-CN"/>
              </w:rPr>
              <w:t>涉VOCs物料如:</w:t>
            </w:r>
            <w:r>
              <w:rPr>
                <w:rFonts w:hint="eastAsia" w:ascii="宋体" w:hAnsi="宋体" w:cs="宋体"/>
                <w:lang w:val="en-US" w:eastAsia="zh-CN"/>
              </w:rPr>
              <w:t>丁二烯、MTBE、碳四、异丁烷等</w:t>
            </w:r>
          </w:p>
        </w:tc>
        <w:tc>
          <w:tcPr>
            <w:tcW w:w="840"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i w:val="0"/>
                <w:iCs w:val="0"/>
                <w:color w:val="auto"/>
                <w:sz w:val="21"/>
                <w:szCs w:val="21"/>
                <w:u w:val="none"/>
                <w:lang w:val="en-US" w:eastAsia="zh-CN" w:bidi="ar-SA"/>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XZG</w:t>
            </w:r>
            <w:r>
              <w:rPr>
                <w:rFonts w:hint="eastAsia" w:ascii="宋体" w:hAnsi="宋体" w:eastAsia="宋体" w:cs="宋体"/>
                <w:color w:val="000000" w:themeColor="text1"/>
                <w:lang w:val="en-US" w:eastAsia="zh-CN"/>
                <w14:textFill>
                  <w14:solidFill>
                    <w14:schemeClr w14:val="tx1"/>
                  </w14:solidFill>
                </w14:textFill>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w:t>
            </w:r>
            <w:r>
              <w:rPr>
                <w:rFonts w:hint="eastAsia" w:ascii="宋体" w:hAnsi="宋体" w:eastAsia="宋体" w:cs="宋体"/>
              </w:rPr>
              <w:t>《石化</w:t>
            </w:r>
            <w:r>
              <w:rPr>
                <w:rFonts w:hint="eastAsia" w:ascii="宋体" w:hAnsi="宋体" w:eastAsia="宋体" w:cs="宋体"/>
                <w:lang w:val="en-US" w:eastAsia="zh-CN"/>
              </w:rPr>
              <w:t>企</w:t>
            </w:r>
            <w:r>
              <w:rPr>
                <w:rFonts w:hint="eastAsia" w:ascii="宋体" w:hAnsi="宋体" w:eastAsia="宋体" w:cs="宋体"/>
              </w:rPr>
              <w:t>业泄漏检测与修复</w:t>
            </w:r>
            <w:r>
              <w:rPr>
                <w:rFonts w:hint="eastAsia" w:ascii="宋体" w:hAnsi="宋体" w:eastAsia="宋体" w:cs="宋体"/>
                <w:lang w:val="en-US" w:eastAsia="zh-CN"/>
              </w:rPr>
              <w:t>工作</w:t>
            </w:r>
            <w:r>
              <w:rPr>
                <w:rFonts w:hint="eastAsia" w:ascii="宋体" w:hAnsi="宋体" w:eastAsia="宋体" w:cs="宋体"/>
              </w:rPr>
              <w:t>指南》（环办【2015】104号）</w:t>
            </w:r>
            <w:r>
              <w:rPr>
                <w:rFonts w:hint="eastAsia" w:ascii="宋体" w:hAnsi="宋体" w:eastAsia="宋体" w:cs="宋体"/>
                <w:color w:val="000000" w:themeColor="text1"/>
                <w:szCs w:val="21"/>
                <w14:textFill>
                  <w14:solidFill>
                    <w14:schemeClr w14:val="tx1"/>
                  </w14:solidFill>
                </w14:textFill>
              </w:rPr>
              <w:t>5.2分析装置涉及的原料、中间产品、最终产品和各类助剂的组分和含量，任何时间不含涉VOCs物料的装置，为非受控装置。否则，应纳入LDAR实施范围，并建立企业受控装置清单。</w:t>
            </w:r>
          </w:p>
        </w:tc>
      </w:tr>
    </w:tbl>
    <w:p>
      <w:pPr>
        <w:rPr>
          <w:rFonts w:hint="eastAsia"/>
          <w:lang w:val="en-US" w:eastAsia="zh-CN"/>
        </w:rPr>
      </w:pPr>
    </w:p>
    <w:p>
      <w:pPr>
        <w:pStyle w:val="2"/>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本次豁免装置明细：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350"/>
        <w:gridCol w:w="1125"/>
        <w:gridCol w:w="1155"/>
        <w:gridCol w:w="1035"/>
        <w:gridCol w:w="1770"/>
        <w:gridCol w:w="93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序号</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装置名称</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装置编码</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豁免原因</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记录人</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记录日期</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审核人</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MTBE装置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XMTBE0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前乙腈装置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XXQYJ0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3</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后乙腈装置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XXHYJ0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异构化装置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XXYGH0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5</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XXWJH0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2024-05-22</w:t>
            </w:r>
          </w:p>
        </w:tc>
      </w:tr>
    </w:tbl>
    <w:p>
      <w:pPr>
        <w:rPr>
          <w:rFonts w:hint="eastAsia"/>
          <w:lang w:val="en-US" w:eastAsia="zh-CN"/>
        </w:rPr>
      </w:pPr>
    </w:p>
    <w:p>
      <w:pPr>
        <w:pStyle w:val="4"/>
        <w:numPr>
          <w:ilvl w:val="1"/>
          <w:numId w:val="0"/>
        </w:numPr>
        <w:bidi w:val="0"/>
        <w:ind w:leftChars="0"/>
        <w:rPr>
          <w:rFonts w:hint="default" w:ascii="宋体" w:hAnsi="宋体" w:eastAsia="宋体" w:cs="宋体"/>
          <w:lang w:val="en-US" w:eastAsia="zh-CN"/>
        </w:rPr>
      </w:pPr>
      <w:bookmarkStart w:id="51" w:name="_Toc10747"/>
      <w:r>
        <w:rPr>
          <w:rFonts w:hint="eastAsia" w:ascii="宋体" w:hAnsi="宋体" w:eastAsia="宋体" w:cs="宋体"/>
          <w:lang w:val="en-US" w:eastAsia="zh-CN"/>
        </w:rPr>
        <w:t>2.6装置适合性分析</w:t>
      </w:r>
      <w:bookmarkEnd w:id="5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——仅在开停工、故障、应急响应或临时投用期间接触涉VOCs 物料的设备，且一年接触时间不超过 15 日。</w:t>
      </w:r>
    </w:p>
    <w:p>
      <w:pPr>
        <w:rPr>
          <w:rFonts w:hint="eastAsia"/>
        </w:rPr>
      </w:pPr>
    </w:p>
    <w:p>
      <w:pPr>
        <w:rPr>
          <w:rFonts w:hint="eastAsia"/>
          <w:lang w:val="en-US" w:eastAsia="zh-CN"/>
        </w:rPr>
      </w:pPr>
    </w:p>
    <w:p>
      <w:pPr>
        <w:pStyle w:val="4"/>
        <w:numPr>
          <w:ilvl w:val="1"/>
          <w:numId w:val="0"/>
        </w:numPr>
        <w:bidi w:val="0"/>
        <w:ind w:leftChars="0"/>
        <w:rPr>
          <w:rFonts w:hint="eastAsia" w:ascii="宋体" w:hAnsi="宋体" w:eastAsia="宋体" w:cs="宋体"/>
          <w:lang w:val="en-US" w:eastAsia="zh-CN"/>
        </w:rPr>
      </w:pPr>
      <w:bookmarkStart w:id="52" w:name="_Toc24308"/>
      <w:r>
        <w:rPr>
          <w:rFonts w:hint="eastAsia" w:ascii="宋体" w:hAnsi="宋体" w:eastAsia="宋体" w:cs="宋体"/>
          <w:lang w:val="en-US" w:eastAsia="zh-CN"/>
        </w:rPr>
        <w:t>2.7响应因子分析</w:t>
      </w:r>
      <w:bookmarkEnd w:id="52"/>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0"/>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1"/>
                    <a:stretch>
                      <a:fillRect/>
                    </a:stretch>
                  </pic:blipFill>
                  <pic:spPr>
                    <a:xfrm>
                      <a:off x="0" y="0"/>
                      <a:ext cx="1162050" cy="268605"/>
                    </a:xfrm>
                    <a:prstGeom prst="rect">
                      <a:avLst/>
                    </a:prstGeom>
                    <a:noFill/>
                    <a:ln>
                      <a:noFill/>
                    </a:ln>
                  </pic:spPr>
                </pic:pic>
              </a:graphicData>
            </a:graphic>
          </wp:anchor>
        </w:drawing>
      </w:r>
      <w:r>
        <w:rPr>
          <w:rFonts w:hint="eastAsia" w:ascii="宋体" w:hAnsi="宋体" w:eastAsia="宋体" w:cs="宋体"/>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ascii="宋体" w:hAnsi="宋体" w:eastAsia="宋体" w:cs="宋体"/>
          <w:color w:val="auto"/>
          <w:sz w:val="21"/>
          <w:szCs w:val="21"/>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auto"/>
          <w:sz w:val="21"/>
          <w:szCs w:val="21"/>
        </w:rPr>
        <w:t xml:space="preserve"> </w:t>
      </w:r>
    </w:p>
    <w:p>
      <w:pPr>
        <w:pStyle w:val="16"/>
        <w:rPr>
          <w:rFonts w:hint="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物料介质</w:t>
            </w: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是否数据修正</w:t>
            </w: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bl>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bookmarkStart w:id="53" w:name="_Toc13471"/>
      <w:r>
        <w:rPr>
          <w:rFonts w:hint="eastAsia"/>
          <w:color w:val="auto"/>
          <w:lang w:val="en-US" w:eastAsia="zh-CN"/>
        </w:rPr>
        <w:t>3 现场</w:t>
      </w:r>
      <w:r>
        <w:rPr>
          <w:rFonts w:hint="eastAsia"/>
          <w:color w:val="auto"/>
        </w:rPr>
        <w:t>检测</w:t>
      </w:r>
      <w:bookmarkEnd w:id="49"/>
      <w:bookmarkEnd w:id="50"/>
      <w:bookmarkEnd w:id="53"/>
    </w:p>
    <w:p>
      <w:pPr>
        <w:pStyle w:val="4"/>
        <w:numPr>
          <w:ilvl w:val="1"/>
          <w:numId w:val="0"/>
        </w:numPr>
        <w:bidi w:val="0"/>
        <w:ind w:leftChars="0"/>
        <w:rPr>
          <w:rFonts w:hint="eastAsia" w:ascii="宋体" w:hAnsi="宋体" w:eastAsia="宋体" w:cs="宋体"/>
          <w:lang w:val="en-US" w:eastAsia="zh-CN"/>
        </w:rPr>
      </w:pPr>
      <w:bookmarkStart w:id="54" w:name="_Toc21329"/>
      <w:bookmarkStart w:id="55" w:name="_Toc6948"/>
      <w:bookmarkStart w:id="56" w:name="_Toc25188"/>
      <w:bookmarkStart w:id="57" w:name="_Toc7053"/>
      <w:r>
        <w:drawing>
          <wp:anchor distT="0" distB="0" distL="114300" distR="114300" simplePos="0" relativeHeight="251663360" behindDoc="0" locked="0" layoutInCell="1" allowOverlap="1">
            <wp:simplePos x="0" y="0"/>
            <wp:positionH relativeFrom="column">
              <wp:posOffset>2394585</wp:posOffset>
            </wp:positionH>
            <wp:positionV relativeFrom="paragraph">
              <wp:posOffset>412750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330960" cy="1669415"/>
                    </a:xfrm>
                    <a:prstGeom prst="rect">
                      <a:avLst/>
                    </a:prstGeom>
                    <a:noFill/>
                    <a:ln>
                      <a:noFill/>
                    </a:ln>
                  </pic:spPr>
                </pic:pic>
              </a:graphicData>
            </a:graphic>
          </wp:anchor>
        </w:drawing>
      </w:r>
      <w:r>
        <w:rPr>
          <w:rFonts w:hint="eastAsia" w:ascii="宋体" w:hAnsi="宋体" w:eastAsia="宋体" w:cs="宋体"/>
          <w:lang w:val="en-US" w:eastAsia="zh-CN"/>
        </w:rPr>
        <w:t>3.1</w:t>
      </w:r>
      <w:bookmarkEnd w:id="54"/>
      <w:bookmarkEnd w:id="55"/>
      <w:bookmarkEnd w:id="56"/>
      <w:bookmarkStart w:id="58" w:name="_Toc23655"/>
      <w:r>
        <w:rPr>
          <w:rFonts w:hint="eastAsia" w:ascii="宋体" w:hAnsi="宋体" w:eastAsia="宋体" w:cs="宋体"/>
          <w:lang w:val="en-US" w:eastAsia="zh-CN"/>
        </w:rPr>
        <w:t>检测设备及辅助设备</w:t>
      </w:r>
      <w:bookmarkEnd w:id="57"/>
      <w:bookmarkEnd w:id="58"/>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p>
    <w:p>
      <w:pPr>
        <w:pStyle w:val="21"/>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59" w:name="_Toc15428"/>
            <w:bookmarkStart w:id="60" w:name="_Toc8884"/>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1" w:name="_Toc5177"/>
      <w:bookmarkStart w:id="62" w:name="_Toc14378"/>
      <w:bookmarkStart w:id="63" w:name="_Toc3981"/>
      <w:bookmarkStart w:id="64" w:name="_Toc18593"/>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3"/>
        <w:tblpPr w:leftFromText="180" w:rightFromText="180" w:vertAnchor="text" w:horzAnchor="page" w:tblpX="1290" w:tblpY="812"/>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w:t>
            </w:r>
            <w:r>
              <w:rPr>
                <w:rFonts w:hint="eastAsia" w:ascii="宋体" w:hAnsi="宋体" w:cs="宋体"/>
                <w:color w:val="auto"/>
                <w:sz w:val="21"/>
                <w:szCs w:val="21"/>
                <w:lang w:val="en-US" w:eastAsia="zh-CN"/>
              </w:rPr>
              <w:t>5</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lang w:val="en-US" w:eastAsia="zh-CN" w:bidi="ar-SA"/>
              </w:rPr>
            </w:pPr>
            <w:r>
              <w:rPr>
                <w:rFonts w:hint="eastAsia" w:ascii="宋体" w:hAnsi="宋体" w:cs="宋体"/>
                <w:color w:val="auto"/>
                <w:sz w:val="21"/>
                <w:szCs w:val="21"/>
                <w:highlight w:val="none"/>
                <w:lang w:eastAsia="zh-CN"/>
              </w:rPr>
              <w:t>手持气象站</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cs="宋体"/>
                <w:color w:val="000000" w:themeColor="text1"/>
                <w:sz w:val="21"/>
                <w:szCs w:val="21"/>
                <w:lang w:val="en-US" w:eastAsia="zh-CN"/>
                <w14:textFill>
                  <w14:solidFill>
                    <w14:schemeClr w14:val="tx1"/>
                  </w14:solidFill>
                </w14:textFill>
              </w:rPr>
              <w:t>1</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w:t>
            </w:r>
            <w:r>
              <w:rPr>
                <w:rFonts w:hint="eastAsia" w:ascii="宋体" w:hAnsi="宋体" w:cs="宋体"/>
                <w:color w:val="000000" w:themeColor="text1"/>
                <w:sz w:val="21"/>
                <w:szCs w:val="21"/>
                <w:lang w:val="en-US" w:eastAsia="zh-CN"/>
                <w14:textFill>
                  <w14:solidFill>
                    <w14:schemeClr w14:val="tx1"/>
                  </w14:solidFill>
                </w14:textFill>
              </w:rPr>
              <w:t>509</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10000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p>
    <w:p>
      <w:pPr>
        <w:pStyle w:val="4"/>
        <w:numPr>
          <w:ilvl w:val="1"/>
          <w:numId w:val="0"/>
        </w:numPr>
        <w:bidi w:val="0"/>
        <w:ind w:leftChars="0"/>
        <w:rPr>
          <w:rFonts w:hint="eastAsia" w:ascii="宋体" w:hAnsi="宋体" w:eastAsia="宋体" w:cs="宋体"/>
          <w:lang w:val="en-US" w:eastAsia="zh-CN"/>
        </w:rPr>
      </w:pPr>
    </w:p>
    <w:p>
      <w:pPr>
        <w:pStyle w:val="4"/>
        <w:numPr>
          <w:ilvl w:val="1"/>
          <w:numId w:val="0"/>
        </w:numPr>
        <w:bidi w:val="0"/>
        <w:ind w:leftChars="0"/>
        <w:rPr>
          <w:rFonts w:hint="eastAsia" w:ascii="宋体" w:hAnsi="宋体" w:eastAsia="宋体" w:cs="宋体"/>
          <w:lang w:val="en-US" w:eastAsia="zh-CN"/>
        </w:rPr>
      </w:pPr>
      <w:bookmarkStart w:id="65" w:name="_Toc7653"/>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rPr>
          <w:rFonts w:hint="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66" w:name="_Toc25765"/>
      <w:r>
        <w:rPr>
          <w:rFonts w:hint="eastAsia" w:ascii="宋体" w:hAnsi="宋体" w:eastAsia="宋体" w:cs="宋体"/>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pStyle w:val="4"/>
        <w:numPr>
          <w:ilvl w:val="1"/>
          <w:numId w:val="0"/>
        </w:numPr>
        <w:bidi w:val="0"/>
        <w:ind w:leftChars="0"/>
        <w:rPr>
          <w:rFonts w:hint="eastAsia" w:ascii="宋体" w:hAnsi="宋体" w:eastAsia="宋体" w:cs="宋体"/>
          <w:lang w:val="en-US" w:eastAsia="zh-CN"/>
        </w:rPr>
      </w:pPr>
      <w:bookmarkStart w:id="67" w:name="_Toc3457"/>
      <w:r>
        <w:rPr>
          <w:rFonts w:hint="eastAsia" w:ascii="宋体" w:hAnsi="宋体" w:eastAsia="宋体" w:cs="宋体"/>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VOC</w:t>
      </w:r>
      <w:r>
        <w:rPr>
          <w:rFonts w:ascii="宋体" w:hAnsi="宋体" w:eastAsia="宋体" w:cs="宋体"/>
          <w:sz w:val="21"/>
          <w:szCs w:val="21"/>
        </w:rPr>
        <w:t>s管控平台</w:t>
      </w:r>
      <w:r>
        <w:rPr>
          <w:rFonts w:hint="eastAsia" w:ascii="宋体" w:hAnsi="宋体" w:eastAsia="宋体" w:cs="宋体"/>
          <w:sz w:val="21"/>
          <w:szCs w:val="21"/>
        </w:rPr>
        <w:t>系统</w:t>
      </w:r>
      <w:r>
        <w:rPr>
          <w:rFonts w:ascii="宋体" w:hAnsi="宋体" w:eastAsia="宋体" w:cs="宋体"/>
          <w:sz w:val="21"/>
          <w:szCs w:val="21"/>
        </w:rPr>
        <w:t>，是一个</w:t>
      </w:r>
      <w:r>
        <w:rPr>
          <w:rFonts w:hint="eastAsia" w:ascii="宋体" w:hAnsi="宋体" w:eastAsia="宋体" w:cs="宋体"/>
          <w:sz w:val="21"/>
          <w:szCs w:val="21"/>
        </w:rPr>
        <w:t>面向化工</w:t>
      </w:r>
      <w:r>
        <w:rPr>
          <w:rFonts w:ascii="宋体" w:hAnsi="宋体" w:eastAsia="宋体" w:cs="宋体"/>
          <w:sz w:val="21"/>
          <w:szCs w:val="21"/>
        </w:rPr>
        <w:t>企业</w:t>
      </w:r>
      <w:r>
        <w:rPr>
          <w:rFonts w:hint="eastAsia" w:ascii="宋体" w:hAnsi="宋体" w:eastAsia="宋体" w:cs="宋体"/>
          <w:sz w:val="21"/>
          <w:szCs w:val="21"/>
        </w:rPr>
        <w:t>，</w:t>
      </w:r>
      <w:r>
        <w:rPr>
          <w:rFonts w:ascii="宋体" w:hAnsi="宋体" w:eastAsia="宋体" w:cs="宋体"/>
          <w:sz w:val="21"/>
          <w:szCs w:val="21"/>
        </w:rPr>
        <w:t>统计分析VOCs无组织排放</w:t>
      </w:r>
      <w:r>
        <w:rPr>
          <w:rFonts w:hint="eastAsia" w:ascii="宋体" w:hAnsi="宋体" w:eastAsia="宋体" w:cs="宋体"/>
          <w:sz w:val="21"/>
          <w:szCs w:val="21"/>
        </w:rPr>
        <w:t>量</w:t>
      </w:r>
      <w:r>
        <w:rPr>
          <w:rFonts w:ascii="宋体" w:hAnsi="宋体" w:eastAsia="宋体" w:cs="宋体"/>
          <w:sz w:val="21"/>
          <w:szCs w:val="21"/>
        </w:rPr>
        <w:t>的</w:t>
      </w:r>
      <w:r>
        <w:rPr>
          <w:rFonts w:hint="eastAsia" w:ascii="宋体" w:hAnsi="宋体" w:eastAsia="宋体" w:cs="宋体"/>
          <w:sz w:val="21"/>
          <w:szCs w:val="21"/>
        </w:rPr>
        <w:t>服务型</w:t>
      </w:r>
      <w:r>
        <w:rPr>
          <w:rFonts w:ascii="宋体" w:hAnsi="宋体" w:eastAsia="宋体" w:cs="宋体"/>
          <w:sz w:val="21"/>
          <w:szCs w:val="21"/>
        </w:rPr>
        <w:t>结构组件模型，</w:t>
      </w:r>
      <w:r>
        <w:rPr>
          <w:rFonts w:hint="eastAsia" w:ascii="宋体" w:hAnsi="宋体" w:eastAsia="宋体" w:cs="宋体"/>
          <w:sz w:val="21"/>
          <w:szCs w:val="21"/>
        </w:rPr>
        <w:t>可以</w:t>
      </w:r>
      <w:r>
        <w:rPr>
          <w:rFonts w:ascii="宋体" w:hAnsi="宋体" w:eastAsia="宋体" w:cs="宋体"/>
          <w:sz w:val="21"/>
          <w:szCs w:val="21"/>
        </w:rPr>
        <w:t>实现</w:t>
      </w:r>
      <w:r>
        <w:rPr>
          <w:rFonts w:hint="eastAsia" w:ascii="宋体" w:hAnsi="宋体" w:eastAsia="宋体" w:cs="宋体"/>
          <w:sz w:val="21"/>
          <w:szCs w:val="21"/>
        </w:rPr>
        <w:t>对</w:t>
      </w:r>
      <w:r>
        <w:rPr>
          <w:rFonts w:ascii="宋体" w:hAnsi="宋体" w:eastAsia="宋体" w:cs="宋体"/>
          <w:sz w:val="21"/>
          <w:szCs w:val="21"/>
        </w:rPr>
        <w:t>不同</w:t>
      </w:r>
      <w:r>
        <w:rPr>
          <w:rFonts w:hint="eastAsia" w:ascii="宋体" w:hAnsi="宋体" w:eastAsia="宋体" w:cs="宋体"/>
          <w:sz w:val="21"/>
          <w:szCs w:val="21"/>
        </w:rPr>
        <w:t>装置</w:t>
      </w:r>
      <w:r>
        <w:rPr>
          <w:rFonts w:ascii="宋体" w:hAnsi="宋体" w:eastAsia="宋体" w:cs="宋体"/>
          <w:sz w:val="21"/>
          <w:szCs w:val="21"/>
        </w:rPr>
        <w:t>、区域的</w:t>
      </w:r>
      <w:r>
        <w:rPr>
          <w:rFonts w:hint="eastAsia" w:ascii="宋体" w:hAnsi="宋体" w:eastAsia="宋体" w:cs="宋体"/>
          <w:sz w:val="21"/>
          <w:szCs w:val="21"/>
        </w:rPr>
        <w:t>泄漏点</w:t>
      </w:r>
      <w:r>
        <w:rPr>
          <w:rFonts w:ascii="宋体" w:hAnsi="宋体" w:eastAsia="宋体" w:cs="宋体"/>
          <w:sz w:val="21"/>
          <w:szCs w:val="21"/>
        </w:rPr>
        <w:t>、泄漏量</w:t>
      </w:r>
      <w:r>
        <w:rPr>
          <w:rFonts w:hint="eastAsia" w:ascii="宋体" w:hAnsi="宋体" w:eastAsia="宋体" w:cs="宋体"/>
          <w:sz w:val="21"/>
          <w:szCs w:val="21"/>
        </w:rPr>
        <w:t>、</w:t>
      </w:r>
      <w:r>
        <w:rPr>
          <w:rFonts w:ascii="宋体" w:hAnsi="宋体" w:eastAsia="宋体" w:cs="宋体"/>
          <w:sz w:val="21"/>
          <w:szCs w:val="21"/>
        </w:rPr>
        <w:t>减排量的统计</w:t>
      </w:r>
      <w:r>
        <w:rPr>
          <w:rFonts w:hint="eastAsia" w:ascii="宋体" w:hAnsi="宋体" w:eastAsia="宋体" w:cs="宋体"/>
          <w:sz w:val="21"/>
          <w:szCs w:val="21"/>
        </w:rPr>
        <w:t>分析，主要功能</w:t>
      </w:r>
      <w:r>
        <w:rPr>
          <w:rFonts w:ascii="宋体" w:hAnsi="宋体" w:eastAsia="宋体" w:cs="宋体"/>
          <w:sz w:val="21"/>
          <w:szCs w:val="21"/>
        </w:rPr>
        <w:t>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2"/>
        <w:ind w:firstLine="420" w:firstLineChars="200"/>
        <w:rPr>
          <w:rFonts w:hint="eastAsia"/>
          <w:b/>
          <w:bCs/>
          <w:color w:val="auto"/>
          <w:lang w:val="en-US" w:eastAsia="zh-CN"/>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bookmarkStart w:id="68" w:name="_Toc16051"/>
      <w:bookmarkStart w:id="69" w:name="_Toc31257"/>
      <w:bookmarkStart w:id="70" w:name="_Toc3"/>
      <w:bookmarkStart w:id="71" w:name="_Toc13170"/>
    </w:p>
    <w:p>
      <w:pPr>
        <w:pStyle w:val="3"/>
        <w:numPr>
          <w:ilvl w:val="0"/>
          <w:numId w:val="0"/>
        </w:numPr>
        <w:tabs>
          <w:tab w:val="left" w:pos="297"/>
          <w:tab w:val="clear" w:pos="432"/>
        </w:tabs>
        <w:spacing w:before="240"/>
        <w:ind w:leftChars="0"/>
        <w:rPr>
          <w:rFonts w:hint="eastAsia"/>
          <w:b/>
          <w:bCs/>
          <w:color w:val="auto"/>
          <w:lang w:val="en-US" w:eastAsia="zh-CN"/>
        </w:rPr>
      </w:pPr>
      <w:bookmarkStart w:id="72" w:name="_Toc10315"/>
      <w:r>
        <w:rPr>
          <w:rFonts w:hint="eastAsia"/>
          <w:b/>
          <w:bCs/>
          <w:color w:val="auto"/>
          <w:lang w:val="en-US" w:eastAsia="zh-CN"/>
        </w:rPr>
        <w:t>4.泄漏</w:t>
      </w:r>
      <w:bookmarkEnd w:id="68"/>
      <w:bookmarkEnd w:id="69"/>
      <w:bookmarkEnd w:id="70"/>
      <w:bookmarkEnd w:id="71"/>
      <w:r>
        <w:rPr>
          <w:rFonts w:hint="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2"/>
        <w:rPr>
          <w:rFonts w:hint="eastAsia"/>
          <w:lang w:val="en-US" w:eastAsia="zh-CN"/>
        </w:rPr>
      </w:pPr>
      <w:bookmarkStart w:id="73" w:name="_Toc28174"/>
      <w:bookmarkStart w:id="74" w:name="_Toc16907"/>
      <w:bookmarkStart w:id="75" w:name="_Toc16343"/>
      <w:bookmarkStart w:id="76" w:name="_Toc30508"/>
    </w:p>
    <w:p>
      <w:pPr>
        <w:pStyle w:val="4"/>
        <w:numPr>
          <w:ilvl w:val="1"/>
          <w:numId w:val="0"/>
        </w:numPr>
        <w:bidi w:val="0"/>
        <w:ind w:leftChars="0"/>
        <w:rPr>
          <w:rFonts w:hint="eastAsia" w:ascii="宋体" w:hAnsi="宋体" w:eastAsia="宋体" w:cs="宋体"/>
          <w:lang w:val="en-US" w:eastAsia="zh-CN"/>
        </w:rPr>
      </w:pPr>
      <w:bookmarkStart w:id="77" w:name="_Toc12739"/>
      <w:r>
        <w:rPr>
          <w:rFonts w:hint="eastAsia" w:ascii="宋体" w:hAnsi="宋体" w:eastAsia="宋体" w:cs="宋体"/>
          <w:lang w:val="en-US" w:eastAsia="zh-CN"/>
        </w:rPr>
        <w:t>4.1泄漏密封点统计</w:t>
      </w:r>
      <w:bookmarkEnd w:id="73"/>
      <w:bookmarkEnd w:id="74"/>
      <w:bookmarkEnd w:id="75"/>
      <w:bookmarkEnd w:id="76"/>
      <w:bookmarkEnd w:id="77"/>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装置</w:t>
            </w: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color w:val="262626" w:themeColor="text1" w:themeTint="D9"/>
                <w:highlight w:val="none"/>
                <w:lang w:val="en-US" w:eastAsia="zh-CN"/>
                <w14:textFill>
                  <w14:solidFill>
                    <w14:schemeClr w14:val="tx1">
                      <w14:lumMod w14:val="85000"/>
                      <w14:lumOff w14:val="15000"/>
                    </w14:schemeClr>
                  </w14:solidFill>
                </w14:textFill>
              </w:rPr>
            </w:pPr>
            <w:bookmarkStart w:id="78" w:name="_Toc27149"/>
            <w:bookmarkStart w:id="79" w:name="_Toc17053"/>
            <w:bookmarkStart w:id="80" w:name="_Toc4572"/>
            <w:bookmarkStart w:id="81" w:name="_Toc13495"/>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储运装置</w:t>
            </w:r>
          </w:p>
        </w:tc>
        <w:tc>
          <w:tcPr>
            <w:tcW w:w="1133"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5441</w:t>
            </w:r>
          </w:p>
        </w:tc>
        <w:tc>
          <w:tcPr>
            <w:tcW w:w="1237"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5438</w:t>
            </w:r>
          </w:p>
        </w:tc>
        <w:tc>
          <w:tcPr>
            <w:tcW w:w="1238" w:type="dxa"/>
            <w:tcBorders>
              <w:tl2br w:val="nil"/>
              <w:tr2bl w:val="nil"/>
            </w:tcBorders>
            <w:vAlign w:val="center"/>
          </w:tcPr>
          <w:p>
            <w:pPr>
              <w:ind w:firstLine="0" w:firstLineChars="0"/>
              <w:jc w:val="center"/>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3</w:t>
            </w:r>
          </w:p>
        </w:tc>
        <w:tc>
          <w:tcPr>
            <w:tcW w:w="1450"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4</w:t>
            </w:r>
          </w:p>
        </w:tc>
        <w:tc>
          <w:tcPr>
            <w:tcW w:w="2206"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default"/>
                <w:color w:val="262626" w:themeColor="text1" w:themeTint="D9"/>
                <w:highlight w:val="none"/>
                <w:lang w:val="en-US" w:eastAsia="zh-CN"/>
                <w14:textFill>
                  <w14:solidFill>
                    <w14:schemeClr w14:val="tx1">
                      <w14:lumMod w14:val="85000"/>
                      <w14:lumOff w14:val="15000"/>
                    </w14:schemeClr>
                  </w14:solidFill>
                </w14:textFill>
              </w:rPr>
            </w:pPr>
            <w:r>
              <w:rPr>
                <w:rFonts w:hint="eastAsia"/>
                <w:color w:val="262626" w:themeColor="text1" w:themeTint="D9"/>
                <w:highlight w:val="none"/>
                <w:lang w:val="en-US" w:eastAsia="zh-CN"/>
                <w14:textFill>
                  <w14:solidFill>
                    <w14:schemeClr w14:val="tx1">
                      <w14:lumMod w14:val="85000"/>
                      <w14:lumOff w14:val="15000"/>
                    </w14:schemeClr>
                  </w14:solidFill>
                </w14:textFill>
              </w:rPr>
              <w:t>合计</w:t>
            </w:r>
          </w:p>
        </w:tc>
        <w:tc>
          <w:tcPr>
            <w:tcW w:w="1133"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5441</w:t>
            </w:r>
          </w:p>
        </w:tc>
        <w:tc>
          <w:tcPr>
            <w:tcW w:w="1237"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5438</w:t>
            </w:r>
          </w:p>
        </w:tc>
        <w:tc>
          <w:tcPr>
            <w:tcW w:w="1238" w:type="dxa"/>
            <w:tcBorders>
              <w:tl2br w:val="nil"/>
              <w:tr2bl w:val="nil"/>
            </w:tcBorders>
            <w:vAlign w:val="center"/>
          </w:tcPr>
          <w:p>
            <w:pPr>
              <w:ind w:firstLine="0" w:firstLineChars="0"/>
              <w:jc w:val="center"/>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3</w:t>
            </w:r>
          </w:p>
        </w:tc>
        <w:tc>
          <w:tcPr>
            <w:tcW w:w="1450" w:type="dxa"/>
            <w:tcBorders>
              <w:tl2br w:val="nil"/>
              <w:tr2bl w:val="nil"/>
            </w:tcBorders>
            <w:vAlign w:val="center"/>
          </w:tcPr>
          <w:p>
            <w:pPr>
              <w:ind w:firstLine="0" w:firstLineChars="0"/>
              <w:jc w:val="center"/>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4</w:t>
            </w:r>
          </w:p>
        </w:tc>
        <w:tc>
          <w:tcPr>
            <w:tcW w:w="2206" w:type="dxa"/>
            <w:tcBorders>
              <w:tl2br w:val="nil"/>
              <w:tr2bl w:val="nil"/>
            </w:tcBorders>
            <w:vAlign w:val="center"/>
          </w:tcPr>
          <w:p>
            <w:pPr>
              <w:ind w:firstLine="0" w:firstLineChars="0"/>
              <w:jc w:val="center"/>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bl>
    <w:p>
      <w:pPr>
        <w:pStyle w:val="4"/>
        <w:numPr>
          <w:ilvl w:val="1"/>
          <w:numId w:val="0"/>
        </w:numPr>
        <w:bidi w:val="0"/>
        <w:ind w:leftChars="0"/>
        <w:rPr>
          <w:rFonts w:hint="eastAsia"/>
          <w:lang w:val="en-US" w:eastAsia="zh-CN"/>
        </w:rPr>
      </w:pPr>
    </w:p>
    <w:p>
      <w:pPr>
        <w:pStyle w:val="4"/>
        <w:numPr>
          <w:ilvl w:val="1"/>
          <w:numId w:val="0"/>
        </w:numPr>
        <w:bidi w:val="0"/>
        <w:ind w:leftChars="0"/>
        <w:rPr>
          <w:rFonts w:hint="eastAsia" w:ascii="宋体" w:hAnsi="宋体" w:eastAsia="宋体" w:cs="宋体"/>
          <w:lang w:val="en-US" w:eastAsia="zh-CN"/>
        </w:rPr>
      </w:pPr>
      <w:bookmarkStart w:id="82" w:name="_Toc31237"/>
      <w:r>
        <w:rPr>
          <w:rFonts w:hint="eastAsia" w:ascii="宋体" w:hAnsi="宋体" w:eastAsia="宋体" w:cs="宋体"/>
          <w:lang w:val="en-US" w:eastAsia="zh-CN"/>
        </w:rPr>
        <w:t>4.2泄漏点维修</w:t>
      </w:r>
      <w:bookmarkEnd w:id="78"/>
      <w:bookmarkEnd w:id="79"/>
      <w:bookmarkEnd w:id="80"/>
      <w:bookmarkEnd w:id="81"/>
      <w:bookmarkEnd w:id="82"/>
    </w:p>
    <w:p>
      <w:pPr>
        <w:pStyle w:val="4"/>
        <w:numPr>
          <w:ilvl w:val="1"/>
          <w:numId w:val="0"/>
        </w:numPr>
        <w:bidi w:val="0"/>
        <w:ind w:leftChars="0"/>
      </w:pPr>
      <w:bookmarkStart w:id="83" w:name="_Toc29307"/>
      <w:bookmarkStart w:id="84" w:name="_Toc30668"/>
      <w:bookmarkStart w:id="85" w:name="_Toc18147"/>
      <w:bookmarkStart w:id="86" w:name="_Toc20510"/>
      <w:bookmarkStart w:id="87" w:name="_Toc23725"/>
      <w:r>
        <w:rPr>
          <w:rFonts w:hint="eastAsia"/>
        </w:rPr>
        <w:t>泄漏点</w:t>
      </w:r>
      <w:r>
        <w:t>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用常规检测方法测得的净检测值超过泄漏定义浓度值的现象；（</w:t>
      </w: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）用非常规检测或检 查发现的泄漏现象。其中泄漏浓度定义浓度值按表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r>
        <w:rPr>
          <w:rFonts w:hint="eastAsia" w:asciiTheme="minorEastAsia" w:hAnsiTheme="minorEastAsia" w:eastAsiaTheme="minorEastAsia" w:cstheme="min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color w:val="auto"/>
        </w:rPr>
      </w:pPr>
      <w:r>
        <w:rPr>
          <w:rFonts w:hint="eastAsia" w:asciiTheme="minorEastAsia" w:hAnsiTheme="minorEastAsia" w:eastAsiaTheme="minorEastAsia" w:cstheme="minorEastAsia"/>
          <w:color w:val="auto"/>
          <w:sz w:val="21"/>
          <w:szCs w:val="21"/>
          <w:lang w:val="en-US" w:eastAsia="zh-CN"/>
        </w:rPr>
        <w:t xml:space="preserve">自本要求发布之日起至 </w:t>
      </w:r>
      <w:r>
        <w:rPr>
          <w:rFonts w:hint="default" w:asciiTheme="minorEastAsia" w:hAnsiTheme="minorEastAsia" w:eastAsiaTheme="minorEastAsia" w:cstheme="minorEastAsia"/>
          <w:color w:val="auto"/>
          <w:sz w:val="21"/>
          <w:szCs w:val="21"/>
          <w:lang w:val="en-US" w:eastAsia="zh-CN"/>
        </w:rPr>
        <w:t xml:space="preserve">2020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31 </w:t>
      </w:r>
      <w:r>
        <w:rPr>
          <w:rFonts w:hint="eastAsia" w:asciiTheme="minorEastAsia" w:hAnsiTheme="minorEastAsia" w:eastAsiaTheme="minorEastAsia" w:cstheme="minorEastAsia"/>
          <w:color w:val="auto"/>
          <w:sz w:val="21"/>
          <w:szCs w:val="21"/>
          <w:lang w:val="en-US" w:eastAsia="zh-CN"/>
        </w:rPr>
        <w:t xml:space="preserve">日止，现有项目执行第一时段泄漏定义浓度值；自 </w:t>
      </w:r>
      <w:r>
        <w:rPr>
          <w:rFonts w:hint="default" w:asciiTheme="minorEastAsia" w:hAnsiTheme="minorEastAsia" w:eastAsiaTheme="minorEastAsia" w:cstheme="minorEastAsia"/>
          <w:color w:val="auto"/>
          <w:sz w:val="21"/>
          <w:szCs w:val="21"/>
          <w:lang w:val="en-US" w:eastAsia="zh-CN"/>
        </w:rPr>
        <w:t xml:space="preserve">2021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日起，现有项目执行第二时段泄漏定义浓度值。自本要求 发布之日起，新建项目执行第二时段泄漏定义浓度值。</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bidi w:val="0"/>
        <w:ind w:leftChars="0"/>
        <w:rPr>
          <w:rFonts w:hint="eastAsia" w:ascii="宋体" w:hAnsi="宋体" w:eastAsia="宋体" w:cs="宋体"/>
          <w:lang w:val="en-US" w:eastAsia="zh-CN"/>
        </w:rPr>
      </w:pPr>
      <w:bookmarkStart w:id="88" w:name="_Toc1566"/>
      <w:r>
        <w:rPr>
          <w:rFonts w:hint="eastAsia" w:ascii="宋体" w:hAnsi="宋体" w:eastAsia="宋体" w:cs="宋体"/>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p>
    <w:p>
      <w:pPr>
        <w:ind w:firstLine="480"/>
        <w:jc w:val="center"/>
        <w:rPr>
          <w:rFonts w:hint="eastAsia" w:ascii="宋体" w:hAnsi="宋体" w:eastAsia="宋体" w:cs="宋体"/>
          <w:b/>
          <w:bCs/>
          <w:sz w:val="21"/>
          <w:szCs w:val="21"/>
        </w:rPr>
      </w:pP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pStyle w:val="2"/>
        <w:rPr>
          <w:rFonts w:hint="eastAsia"/>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序号</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装置名称</w:t>
            </w:r>
          </w:p>
        </w:tc>
        <w:tc>
          <w:tcPr>
            <w:tcW w:w="12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周期排放量(kg/季度）</w:t>
            </w:r>
          </w:p>
        </w:tc>
        <w:tc>
          <w:tcPr>
            <w:tcW w:w="9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sz w:val="21"/>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456.96</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450.68</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6.28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456.96</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450.68</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6.28</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p>
      <w:pPr>
        <w:pStyle w:val="4"/>
        <w:numPr>
          <w:ilvl w:val="1"/>
          <w:numId w:val="0"/>
        </w:numPr>
        <w:bidi w:val="0"/>
        <w:ind w:leftChars="0"/>
        <w:rPr>
          <w:rFonts w:hint="eastAsia" w:ascii="宋体" w:hAnsi="宋体" w:eastAsia="宋体" w:cs="宋体"/>
          <w:lang w:val="en-US" w:eastAsia="zh-CN"/>
        </w:rPr>
      </w:pPr>
      <w:bookmarkStart w:id="89" w:name="_Toc19074"/>
      <w:r>
        <w:rPr>
          <w:rFonts w:hint="eastAsia" w:ascii="宋体" w:hAnsi="宋体" w:eastAsia="宋体" w:cs="宋体"/>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lang w:bidi="en-US"/>
        </w:r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rPr>
          <w:rFonts w:hint="eastAsia" w:ascii="宋体" w:hAnsi="宋体"/>
          <w:sz w:val="21"/>
          <w:szCs w:val="21"/>
          <w:lang w:bidi="en-US"/>
        </w:rPr>
      </w:pPr>
    </w:p>
    <w:p>
      <w:pPr>
        <w:pStyle w:val="3"/>
        <w:numPr>
          <w:ilvl w:val="0"/>
          <w:numId w:val="0"/>
        </w:numPr>
        <w:bidi w:val="0"/>
        <w:ind w:leftChars="0"/>
        <w:rPr>
          <w:rFonts w:hint="eastAsia" w:ascii="宋体" w:hAnsi="宋体" w:eastAsia="宋体" w:cs="宋体"/>
          <w:color w:val="auto"/>
          <w:lang w:val="en-US" w:eastAsia="zh-CN"/>
        </w:rPr>
      </w:pPr>
      <w:bookmarkStart w:id="90" w:name="_Toc19056"/>
      <w:bookmarkStart w:id="91" w:name="_Toc27060"/>
      <w:bookmarkStart w:id="92" w:name="_Toc23996"/>
      <w:bookmarkStart w:id="93" w:name="_Toc13433"/>
      <w:bookmarkStart w:id="94" w:name="_Toc23649"/>
      <w:r>
        <w:rPr>
          <w:rFonts w:hint="eastAsia" w:ascii="宋体" w:hAnsi="宋体" w:eastAsia="宋体" w:cs="宋体"/>
          <w:color w:val="auto"/>
          <w:lang w:val="en-US" w:eastAsia="zh-CN"/>
        </w:rPr>
        <w:t>5</w:t>
      </w:r>
      <w:bookmarkEnd w:id="90"/>
      <w:bookmarkEnd w:id="91"/>
      <w:bookmarkEnd w:id="92"/>
      <w:bookmarkEnd w:id="93"/>
      <w:r>
        <w:rPr>
          <w:rFonts w:hint="eastAsia" w:ascii="宋体" w:hAnsi="宋体" w:eastAsia="宋体" w:cs="宋体"/>
          <w:color w:val="auto"/>
          <w:lang w:val="en-US" w:eastAsia="zh-CN"/>
        </w:rPr>
        <w:t>.持续LDAR</w:t>
      </w:r>
      <w:bookmarkEnd w:id="94"/>
    </w:p>
    <w:p>
      <w:pPr>
        <w:pStyle w:val="4"/>
        <w:numPr>
          <w:ilvl w:val="1"/>
          <w:numId w:val="0"/>
        </w:numPr>
        <w:bidi w:val="0"/>
        <w:ind w:leftChars="0"/>
        <w:rPr>
          <w:rFonts w:hint="default" w:ascii="宋体" w:hAnsi="宋体" w:eastAsia="宋体" w:cs="宋体"/>
          <w:lang w:val="en-US" w:eastAsia="zh-CN"/>
        </w:rPr>
      </w:pPr>
      <w:bookmarkStart w:id="95" w:name="_Toc26126"/>
      <w:r>
        <w:rPr>
          <w:rFonts w:hint="eastAsia" w:ascii="宋体" w:hAnsi="宋体" w:eastAsia="宋体" w:cs="宋体"/>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ascii="宋体" w:hAnsi="宋体" w:eastAsia="宋体" w:cs="宋体"/>
          <w:lang w:val="en-US" w:eastAsia="zh-CN"/>
        </w:rPr>
      </w:pPr>
      <w:bookmarkStart w:id="96" w:name="_Toc13785"/>
      <w:r>
        <w:rPr>
          <w:rFonts w:hint="eastAsia" w:ascii="宋体" w:hAnsi="宋体" w:eastAsia="宋体" w:cs="宋体"/>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cstheme="minorBidi"/>
          <w:b w:val="0"/>
          <w:caps w:val="0"/>
          <w:spacing w:val="0"/>
          <w:kern w:val="2"/>
          <w:sz w:val="21"/>
          <w:szCs w:val="21"/>
          <w:lang w:val="en-US" w:eastAsia="zh-CN" w:bidi="en-US"/>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2"/>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宋体" w:hAnsi="宋体" w:eastAsia="宋体" w:cs="宋体"/>
          <w:color w:val="auto"/>
        </w:rPr>
      </w:pPr>
      <w:bookmarkStart w:id="107" w:name="_GoBack"/>
      <w:bookmarkEnd w:id="107"/>
      <w:bookmarkStart w:id="97" w:name="_Toc1288"/>
      <w:bookmarkStart w:id="98" w:name="_Toc3471"/>
      <w:bookmarkStart w:id="99" w:name="_Toc23871"/>
      <w:bookmarkStart w:id="100" w:name="_Toc31900"/>
      <w:bookmarkStart w:id="101" w:name="_Toc5857"/>
      <w:bookmarkStart w:id="102" w:name="_Toc25776"/>
      <w:bookmarkStart w:id="103" w:name="_Toc16378"/>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山东威特化工有限公司</w:t>
      </w:r>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4</w:t>
      </w:r>
      <w:r>
        <w:rPr>
          <w:rFonts w:hint="eastAsia" w:ascii="宋体" w:hAnsi="宋体" w:eastAsia="宋体" w:cs="宋体"/>
          <w:b/>
          <w:bCs/>
          <w:caps w:val="0"/>
          <w:color w:val="auto"/>
          <w:spacing w:val="0"/>
          <w:kern w:val="2"/>
          <w:sz w:val="28"/>
          <w:szCs w:val="28"/>
          <w:lang w:val="en-US" w:eastAsia="zh-CN" w:bidi="en-US"/>
        </w:rPr>
        <w:t>年</w:t>
      </w:r>
      <w:r>
        <w:rPr>
          <w:rFonts w:hint="eastAsia" w:cs="宋体"/>
          <w:b/>
          <w:bCs/>
          <w:caps w:val="0"/>
          <w:color w:val="auto"/>
          <w:spacing w:val="0"/>
          <w:kern w:val="2"/>
          <w:sz w:val="28"/>
          <w:szCs w:val="28"/>
          <w:lang w:val="en-US" w:eastAsia="zh-CN" w:bidi="en-US"/>
        </w:rPr>
        <w:t>第二季度</w:t>
      </w:r>
      <w:r>
        <w:rPr>
          <w:rFonts w:hint="eastAsia" w:ascii="宋体" w:hAnsi="宋体" w:eastAsia="宋体" w:cs="宋体"/>
          <w:b/>
          <w:bCs/>
          <w:caps w:val="0"/>
          <w:color w:val="auto"/>
          <w:spacing w:val="0"/>
          <w:kern w:val="2"/>
          <w:sz w:val="28"/>
          <w:szCs w:val="28"/>
          <w:lang w:val="en-US" w:eastAsia="zh-CN" w:bidi="en-US"/>
        </w:rPr>
        <w:t>LDAR汇总表</w:t>
      </w:r>
      <w:bookmarkEnd w:id="97"/>
      <w:bookmarkEnd w:id="98"/>
      <w:bookmarkEnd w:id="99"/>
      <w:bookmarkEnd w:id="100"/>
      <w:bookmarkEnd w:id="101"/>
      <w:bookmarkEnd w:id="102"/>
      <w:bookmarkEnd w:id="103"/>
    </w:p>
    <w:p>
      <w:pPr>
        <w:jc w:val="right"/>
        <w:rPr>
          <w:rFonts w:ascii="宋体" w:hAnsi="宋体" w:eastAsia="宋体" w:cs="宋体"/>
          <w:color w:val="000000"/>
        </w:rPr>
      </w:pPr>
      <w:r>
        <w:rPr>
          <w:rFonts w:hint="eastAsia"/>
          <w:color w:val="000000"/>
          <w:lang w:val="en-US" w:eastAsia="zh-CN"/>
        </w:rPr>
        <w:t xml:space="preserve">   填表日期：2024年05月25日</w:t>
      </w:r>
      <w:r>
        <w:rPr>
          <w:rFonts w:hint="eastAsia" w:ascii="宋体" w:hAnsi="宋体" w:eastAsia="宋体" w:cs="宋体"/>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山东威特化工有限公司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3"/>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204" w:type="dxa"/>
            <w:noWrap/>
            <w:vAlign w:val="center"/>
          </w:tcPr>
          <w:p>
            <w:pPr>
              <w:pStyle w:val="27"/>
              <w:ind w:firstLine="0" w:firstLineChars="0"/>
              <w:jc w:val="center"/>
              <w:rPr>
                <w:rFonts w:hint="eastAsia"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韩</w:t>
            </w:r>
            <w:r>
              <w:rPr>
                <w:rFonts w:hint="eastAsia" w:ascii="宋体" w:hAnsi="宋体" w:eastAsia="宋体" w:cs="宋体"/>
                <w:i w:val="0"/>
                <w:iCs w:val="0"/>
                <w:caps w:val="0"/>
                <w:spacing w:val="0"/>
                <w:sz w:val="21"/>
                <w:szCs w:val="21"/>
                <w:shd w:val="clear" w:fill="FFFFFF"/>
              </w:rPr>
              <w:t>经理</w:t>
            </w:r>
          </w:p>
        </w:tc>
        <w:tc>
          <w:tcPr>
            <w:tcW w:w="1925" w:type="dxa"/>
            <w:gridSpan w:val="2"/>
            <w:noWrap/>
            <w:vAlign w:val="center"/>
          </w:tcPr>
          <w:p>
            <w:pPr>
              <w:pStyle w:val="27"/>
              <w:ind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7"/>
              <w:ind w:firstLine="0" w:firstLineChars="0"/>
              <w:jc w:val="center"/>
              <w:rPr>
                <w:rFonts w:hint="default"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3"/>
              <w:rPr>
                <w:rFonts w:hint="eastAsia" w:ascii="宋体" w:hAnsi="宋体" w:eastAsia="宋体" w:cs="宋体"/>
                <w:color w:val="000000"/>
                <w:kern w:val="16"/>
                <w:sz w:val="21"/>
                <w:szCs w:val="21"/>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24</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16"/>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925" w:type="dxa"/>
            <w:gridSpan w:val="2"/>
            <w:noWrap/>
            <w:vAlign w:val="center"/>
          </w:tcPr>
          <w:p>
            <w:pPr>
              <w:pStyle w:val="26"/>
              <w:ind w:firstLine="0" w:firstLineChars="0"/>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rPr>
              <w:t>5441</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宋体" w:hAnsi="宋体" w:eastAsia="宋体" w:cs="宋体"/>
                <w:color w:val="000000"/>
                <w:kern w:val="16"/>
                <w:sz w:val="21"/>
                <w:szCs w:val="21"/>
              </w:rPr>
            </w:pPr>
          </w:p>
        </w:tc>
        <w:tc>
          <w:tcPr>
            <w:tcW w:w="4269" w:type="dxa"/>
            <w:gridSpan w:val="4"/>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1925" w:type="dxa"/>
            <w:gridSpan w:val="2"/>
            <w:noWrap/>
            <w:vAlign w:val="center"/>
          </w:tcPr>
          <w:p>
            <w:pPr>
              <w:pStyle w:val="26"/>
              <w:ind w:firstLine="0" w:firstLineChars="0"/>
              <w:rPr>
                <w:rFonts w:hint="default" w:ascii="宋体" w:hAnsi="宋体" w:eastAsia="宋体" w:cs="宋体"/>
                <w:kern w:val="2"/>
                <w:sz w:val="21"/>
                <w:szCs w:val="21"/>
                <w:lang w:val="en-US" w:eastAsia="zh-CN" w:bidi="ar-SA"/>
              </w:rPr>
            </w:pPr>
            <w:r>
              <w:rPr>
                <w:rFonts w:hint="eastAsia" w:ascii="宋体" w:hAnsi="宋体" w:cs="宋体"/>
                <w:bCs/>
                <w:sz w:val="21"/>
                <w:szCs w:val="21"/>
                <w:lang w:val="en-US" w:eastAsia="zh-CN"/>
              </w:rPr>
              <w:t>5441</w:t>
            </w:r>
          </w:p>
        </w:tc>
        <w:tc>
          <w:tcPr>
            <w:tcW w:w="2140" w:type="dxa"/>
            <w:noWrap/>
            <w:vAlign w:val="center"/>
          </w:tcPr>
          <w:p>
            <w:pPr>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204"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22</w:t>
            </w:r>
            <w:r>
              <w:rPr>
                <w:rFonts w:hint="eastAsia" w:ascii="宋体" w:hAnsi="宋体" w:cs="宋体"/>
                <w:color w:val="000000"/>
                <w:sz w:val="21"/>
                <w:szCs w:val="21"/>
                <w:lang w:eastAsia="zh-CN"/>
              </w:rPr>
              <w:t>日</w:t>
            </w:r>
          </w:p>
        </w:tc>
        <w:tc>
          <w:tcPr>
            <w:tcW w:w="1925"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24</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5441</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top"/>
          </w:tcPr>
          <w:p>
            <w:pPr>
              <w:pStyle w:val="23"/>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8334" w:type="dxa"/>
            <w:gridSpan w:val="7"/>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3"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default" w:ascii="宋体" w:hAnsi="宋体" w:eastAsia="宋体" w:cs="宋体"/>
          <w:lang w:val="en-US" w:eastAsia="zh-CN"/>
        </w:rPr>
      </w:pPr>
      <w:bookmarkStart w:id="104" w:name="_Toc13631"/>
      <w:r>
        <w:rPr>
          <w:rFonts w:hint="eastAsia" w:ascii="宋体" w:hAnsi="宋体" w:eastAsia="宋体" w:cs="宋体"/>
          <w:lang w:val="en-US" w:eastAsia="zh-CN"/>
        </w:rPr>
        <w:t>表6.1 山东威特化工有限公司储运装置LDAR 2024年第二轮统计表</w:t>
      </w:r>
      <w:bookmarkEnd w:id="104"/>
    </w:p>
    <w:p>
      <w:pPr>
        <w:pStyle w:val="23"/>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填表日期：2024年05月25日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627"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000000"/>
                <w:sz w:val="21"/>
                <w:szCs w:val="21"/>
              </w:rPr>
              <w:t>装置编码</w:t>
            </w:r>
          </w:p>
        </w:tc>
        <w:tc>
          <w:tcPr>
            <w:tcW w:w="463" w:type="pct"/>
            <w:tcBorders>
              <w:top w:val="single" w:color="auto" w:sz="12" w:space="0"/>
            </w:tcBorders>
            <w:noWrap/>
            <w:vAlign w:val="center"/>
          </w:tcPr>
          <w:p>
            <w:pPr>
              <w:pStyle w:val="23"/>
              <w:rPr>
                <w:rFonts w:hint="eastAsia" w:ascii="宋体" w:hAnsi="宋体" w:eastAsia="宋体" w:cs="宋体"/>
                <w:color w:val="auto"/>
                <w:sz w:val="21"/>
                <w:szCs w:val="21"/>
                <w:lang w:val="en-US"/>
              </w:rPr>
            </w:pPr>
            <w:r>
              <w:rPr>
                <w:rFonts w:hint="eastAsia" w:ascii="宋体" w:hAnsi="宋体" w:cs="宋体"/>
                <w:i w:val="0"/>
                <w:iCs w:val="0"/>
                <w:color w:val="000000"/>
                <w:kern w:val="0"/>
                <w:sz w:val="21"/>
                <w:szCs w:val="21"/>
                <w:u w:val="none"/>
                <w:lang w:val="en-US" w:eastAsia="zh-CN" w:bidi="ar"/>
              </w:rPr>
              <w:t>XXXZG0</w:t>
            </w:r>
          </w:p>
        </w:tc>
        <w:tc>
          <w:tcPr>
            <w:tcW w:w="764"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3"/>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3"/>
              <w:rPr>
                <w:rFonts w:hint="eastAsia" w:ascii="宋体" w:hAnsi="宋体" w:eastAsia="宋体" w:cs="宋体"/>
                <w:color w:val="auto"/>
                <w:sz w:val="21"/>
                <w:szCs w:val="21"/>
              </w:rPr>
            </w:pP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1406</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1405</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3685</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3683</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2</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1</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202</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202</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5441</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3</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5438</w:t>
            </w:r>
          </w:p>
        </w:tc>
        <w:tc>
          <w:tcPr>
            <w:tcW w:w="309" w:type="pct"/>
            <w:noWrap/>
            <w:vAlign w:val="center"/>
          </w:tcPr>
          <w:p>
            <w:pPr>
              <w:spacing w:line="20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4</w:t>
            </w:r>
          </w:p>
        </w:tc>
        <w:tc>
          <w:tcPr>
            <w:tcW w:w="503"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4</w:t>
            </w:r>
          </w:p>
        </w:tc>
        <w:tc>
          <w:tcPr>
            <w:tcW w:w="788"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bl>
    <w:p>
      <w:pPr>
        <w:rPr>
          <w:rFonts w:hint="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ascii="宋体" w:hAnsi="宋体" w:eastAsia="宋体" w:cs="宋体"/>
          <w:lang w:val="en-US" w:eastAsia="zh-CN"/>
        </w:rPr>
      </w:pPr>
      <w:bookmarkStart w:id="105" w:name="_Toc23012"/>
      <w:r>
        <w:rPr>
          <w:rFonts w:hint="eastAsia" w:ascii="宋体" w:hAnsi="宋体" w:eastAsia="宋体" w:cs="宋体"/>
          <w:lang w:val="en-US" w:eastAsia="zh-CN"/>
        </w:rPr>
        <w:t>表6.2 山东威特化工有限公司2024年第二季度LDAR普查表</w:t>
      </w:r>
      <w:bookmarkEnd w:id="105"/>
    </w:p>
    <w:p>
      <w:pPr>
        <w:jc w:val="right"/>
        <w:rPr>
          <w:rFonts w:hint="eastAsia"/>
          <w:lang w:val="en-US" w:eastAsia="zh-CN"/>
        </w:rPr>
      </w:pPr>
      <w:r>
        <w:rPr>
          <w:rFonts w:hint="eastAsia" w:ascii="宋体" w:hAnsi="宋体" w:cs="宋体"/>
          <w:color w:val="000000"/>
          <w:kern w:val="2"/>
          <w:sz w:val="21"/>
          <w:szCs w:val="21"/>
          <w:lang w:val="en-US" w:eastAsia="zh-CN" w:bidi="ar-SA"/>
        </w:rPr>
        <w:t>填表日期：2024年05月25日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171"/>
        <w:gridCol w:w="1209"/>
        <w:gridCol w:w="1185"/>
        <w:gridCol w:w="1356"/>
        <w:gridCol w:w="1313"/>
        <w:gridCol w:w="1313"/>
        <w:gridCol w:w="1717"/>
        <w:gridCol w:w="1330"/>
        <w:gridCol w:w="1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Merge w:val="restart"/>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1233"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3040"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山东威特化工有限公司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Merge w:val="continue"/>
            <w:vAlign w:val="center"/>
          </w:tcPr>
          <w:p>
            <w:pPr>
              <w:pStyle w:val="23"/>
              <w:rPr>
                <w:rFonts w:asciiTheme="minorEastAsia" w:hAnsiTheme="minorEastAsia" w:eastAsiaTheme="minorEastAsia" w:cstheme="minorEastAsia"/>
                <w:color w:val="auto"/>
                <w:sz w:val="21"/>
                <w:szCs w:val="21"/>
              </w:rPr>
            </w:pPr>
          </w:p>
        </w:tc>
        <w:tc>
          <w:tcPr>
            <w:tcW w:w="1233"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3040"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Merge w:val="continue"/>
            <w:vAlign w:val="center"/>
          </w:tcPr>
          <w:p>
            <w:pPr>
              <w:pStyle w:val="23"/>
              <w:rPr>
                <w:rFonts w:asciiTheme="minorEastAsia" w:hAnsiTheme="minorEastAsia" w:eastAsiaTheme="minorEastAsia" w:cstheme="minorEastAsia"/>
                <w:color w:val="auto"/>
                <w:sz w:val="21"/>
                <w:szCs w:val="21"/>
              </w:rPr>
            </w:pPr>
          </w:p>
        </w:tc>
        <w:tc>
          <w:tcPr>
            <w:tcW w:w="1233"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3040"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韩经理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Merge w:val="continue"/>
            <w:vAlign w:val="center"/>
          </w:tcPr>
          <w:p>
            <w:pPr>
              <w:pStyle w:val="23"/>
              <w:rPr>
                <w:rFonts w:asciiTheme="minorEastAsia" w:hAnsiTheme="minorEastAsia" w:eastAsiaTheme="minorEastAsia" w:cstheme="minorEastAsia"/>
                <w:color w:val="auto"/>
                <w:sz w:val="21"/>
                <w:szCs w:val="21"/>
              </w:rPr>
            </w:pPr>
          </w:p>
        </w:tc>
        <w:tc>
          <w:tcPr>
            <w:tcW w:w="1233"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3040"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Merge w:val="continue"/>
            <w:vAlign w:val="center"/>
          </w:tcPr>
          <w:p>
            <w:pPr>
              <w:pStyle w:val="23"/>
              <w:rPr>
                <w:rFonts w:asciiTheme="minorEastAsia" w:hAnsiTheme="minorEastAsia" w:eastAsiaTheme="minorEastAsia" w:cstheme="minorEastAsia"/>
                <w:color w:val="auto"/>
                <w:sz w:val="21"/>
                <w:szCs w:val="21"/>
              </w:rPr>
            </w:pPr>
          </w:p>
        </w:tc>
        <w:tc>
          <w:tcPr>
            <w:tcW w:w="1233"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3040" w:type="pct"/>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pct"/>
            <w:vAlign w:val="center"/>
          </w:tcPr>
          <w:p>
            <w:pPr>
              <w:pStyle w:val="23"/>
              <w:rPr>
                <w:rFonts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4274" w:type="pct"/>
            <w:gridSpan w:val="9"/>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2024年01月-2024年06月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8" w:type="pct"/>
            <w:gridSpan w:val="8"/>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1071" w:type="pct"/>
            <w:gridSpan w:val="2"/>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5" w:type="pct"/>
            <w:vAlign w:val="center"/>
          </w:tcPr>
          <w:p>
            <w:pPr>
              <w:pStyle w:val="23"/>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装置名称</w:t>
            </w:r>
          </w:p>
        </w:tc>
        <w:tc>
          <w:tcPr>
            <w:tcW w:w="405"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点数</w:t>
            </w:r>
            <w:r>
              <w:rPr>
                <w:rFonts w:hint="default" w:ascii="Calibri" w:hAnsi="Calibri" w:eastAsia="宋体" w:cs="Calibri"/>
                <w:color w:val="000000"/>
                <w:kern w:val="0"/>
                <w:sz w:val="20"/>
                <w:szCs w:val="20"/>
                <w:vertAlign w:val="superscript"/>
                <w:lang w:val="en-US" w:eastAsia="zh-CN" w:bidi="ar"/>
              </w:rPr>
              <w:t>a</w:t>
            </w:r>
          </w:p>
        </w:tc>
        <w:tc>
          <w:tcPr>
            <w:tcW w:w="418"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封点次</w:t>
            </w:r>
            <w:r>
              <w:rPr>
                <w:rFonts w:hint="eastAsia" w:ascii="宋体" w:hAnsi="宋体" w:eastAsia="宋体" w:cs="宋体"/>
                <w:sz w:val="22"/>
                <w:szCs w:val="22"/>
                <w:vertAlign w:val="superscript"/>
                <w:lang w:val="en-US" w:eastAsia="zh-CN"/>
              </w:rPr>
              <w:t>b</w:t>
            </w:r>
          </w:p>
        </w:tc>
        <w:tc>
          <w:tcPr>
            <w:tcW w:w="409"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点次</w:t>
            </w:r>
            <w:r>
              <w:rPr>
                <w:rFonts w:hint="default" w:ascii="Calibri" w:hAnsi="Calibri" w:eastAsia="宋体" w:cs="Calibri"/>
                <w:sz w:val="22"/>
                <w:szCs w:val="22"/>
                <w:vertAlign w:val="superscript"/>
                <w:lang w:val="en-US" w:eastAsia="zh-CN"/>
              </w:rPr>
              <w:t>c</w:t>
            </w:r>
          </w:p>
        </w:tc>
        <w:tc>
          <w:tcPr>
            <w:tcW w:w="469"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严重泄漏点次</w:t>
            </w:r>
            <w:r>
              <w:rPr>
                <w:rFonts w:hint="eastAsia" w:ascii="宋体" w:hAnsi="宋体" w:eastAsia="宋体" w:cs="宋体"/>
                <w:sz w:val="22"/>
                <w:szCs w:val="22"/>
                <w:vertAlign w:val="superscript"/>
                <w:lang w:val="en-US" w:eastAsia="zh-CN"/>
              </w:rPr>
              <w:t>d</w:t>
            </w:r>
          </w:p>
        </w:tc>
        <w:tc>
          <w:tcPr>
            <w:tcW w:w="454"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多次严重泄漏点</w:t>
            </w:r>
            <w:r>
              <w:rPr>
                <w:rFonts w:hint="default" w:ascii="Calibri" w:hAnsi="Calibri" w:eastAsia="宋体" w:cs="Calibri"/>
                <w:sz w:val="22"/>
                <w:szCs w:val="22"/>
                <w:vertAlign w:val="superscript"/>
                <w:lang w:val="en-US" w:eastAsia="zh-CN"/>
              </w:rPr>
              <w:t>e</w:t>
            </w:r>
          </w:p>
        </w:tc>
        <w:tc>
          <w:tcPr>
            <w:tcW w:w="454"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本年度平均泄漏率</w:t>
            </w:r>
            <w:r>
              <w:rPr>
                <w:rFonts w:hint="default" w:ascii="Calibri" w:hAnsi="Calibri" w:eastAsia="宋体" w:cs="Calibri"/>
                <w:sz w:val="22"/>
                <w:szCs w:val="22"/>
                <w:vertAlign w:val="superscript"/>
                <w:lang w:val="en-US" w:eastAsia="zh-CN"/>
              </w:rPr>
              <w:t>f</w:t>
            </w:r>
            <w:r>
              <w:rPr>
                <w:rFonts w:hint="eastAsia" w:ascii="宋体" w:hAnsi="宋体" w:eastAsia="宋体" w:cs="宋体"/>
                <w:sz w:val="22"/>
                <w:szCs w:val="22"/>
              </w:rPr>
              <w:t>%</w:t>
            </w:r>
          </w:p>
        </w:tc>
        <w:tc>
          <w:tcPr>
            <w:tcW w:w="592"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本年度平均严重泄漏率</w:t>
            </w:r>
            <w:r>
              <w:rPr>
                <w:rFonts w:hint="default" w:ascii="Calibri" w:hAnsi="Calibri" w:eastAsia="宋体" w:cs="Calibri"/>
                <w:sz w:val="22"/>
                <w:szCs w:val="22"/>
                <w:vertAlign w:val="superscript"/>
                <w:lang w:val="en-US" w:eastAsia="zh-CN"/>
              </w:rPr>
              <w:t>g</w:t>
            </w:r>
            <w:r>
              <w:rPr>
                <w:rFonts w:hint="eastAsia" w:ascii="宋体" w:hAnsi="宋体" w:eastAsia="宋体" w:cs="宋体"/>
                <w:sz w:val="22"/>
                <w:szCs w:val="22"/>
              </w:rPr>
              <w:t>%</w:t>
            </w:r>
          </w:p>
        </w:tc>
        <w:tc>
          <w:tcPr>
            <w:tcW w:w="460"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累计修复泄漏点</w:t>
            </w:r>
          </w:p>
        </w:tc>
        <w:tc>
          <w:tcPr>
            <w:tcW w:w="611"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5"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405"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6995</w:t>
            </w:r>
          </w:p>
        </w:tc>
        <w:tc>
          <w:tcPr>
            <w:tcW w:w="418"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6991</w:t>
            </w:r>
          </w:p>
        </w:tc>
        <w:tc>
          <w:tcPr>
            <w:tcW w:w="409"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10</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0.14</w:t>
            </w:r>
          </w:p>
        </w:tc>
        <w:tc>
          <w:tcPr>
            <w:tcW w:w="592"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10</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5" w:type="pct"/>
            <w:vAlign w:val="center"/>
          </w:tcPr>
          <w:p>
            <w:pPr>
              <w:pStyle w:val="29"/>
              <w:widowControl/>
              <w:jc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Cs w:val="21"/>
                <w:lang w:val="en-US" w:eastAsia="zh-CN"/>
              </w:rPr>
              <w:t>合计</w:t>
            </w:r>
          </w:p>
        </w:tc>
        <w:tc>
          <w:tcPr>
            <w:tcW w:w="405" w:type="pct"/>
            <w:vAlign w:val="center"/>
          </w:tcPr>
          <w:p>
            <w:pPr>
              <w:pStyle w:val="26"/>
              <w:ind w:firstLine="0" w:firstLineChars="0"/>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8608</w:t>
            </w:r>
          </w:p>
        </w:tc>
        <w:tc>
          <w:tcPr>
            <w:tcW w:w="418" w:type="pct"/>
            <w:vAlign w:val="center"/>
          </w:tcPr>
          <w:p>
            <w:pPr>
              <w:pStyle w:val="26"/>
              <w:ind w:firstLine="0" w:firstLineChars="0"/>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8579</w:t>
            </w:r>
          </w:p>
        </w:tc>
        <w:tc>
          <w:tcPr>
            <w:tcW w:w="40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15</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0.17</w:t>
            </w:r>
          </w:p>
        </w:tc>
        <w:tc>
          <w:tcPr>
            <w:tcW w:w="592"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15</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single" w:color="auto" w:sz="12" w:space="0"/>
              <w:bottom w:val="single" w:color="auto" w:sz="12" w:space="0"/>
            </w:tcBorders>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截止 XX 月 XX 日的受控密封点数。</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f 为泄漏点次占检测密封点次的百分比。 </w:t>
            </w:r>
          </w:p>
          <w:p>
            <w:pPr>
              <w:pStyle w:val="23"/>
              <w:jc w:val="left"/>
              <w:rPr>
                <w:rFonts w:asciiTheme="minorEastAsia" w:hAnsiTheme="minorEastAsia" w:eastAsiaTheme="minorEastAsia" w:cstheme="minorEastAsia"/>
                <w:color w:val="auto"/>
                <w:sz w:val="21"/>
                <w:szCs w:val="21"/>
              </w:rPr>
            </w:pPr>
            <w:r>
              <w:rPr>
                <w:rFonts w:hint="eastAsia" w:ascii="宋体" w:hAnsi="宋体" w:eastAsia="宋体" w:cs="宋体"/>
                <w:color w:val="000000"/>
                <w:kern w:val="0"/>
                <w:sz w:val="21"/>
                <w:szCs w:val="21"/>
                <w:lang w:val="en-US" w:eastAsia="zh-CN" w:bidi="ar"/>
              </w:rPr>
              <w:t>g 为泄漏检测值达到或超过 10000 μmol/mol 的泄漏点次占检测密封点次的百分比。</w:t>
            </w:r>
          </w:p>
        </w:tc>
      </w:tr>
    </w:tbl>
    <w:p>
      <w:pPr>
        <w:pStyle w:val="2"/>
        <w:rPr>
          <w:rFonts w:hint="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ascii="宋体" w:hAnsi="宋体" w:eastAsia="宋体" w:cs="宋体"/>
          <w:lang w:val="en-US" w:eastAsia="zh-CN"/>
        </w:rPr>
      </w:pPr>
      <w:bookmarkStart w:id="106" w:name="_Toc24648"/>
      <w:r>
        <w:rPr>
          <w:rFonts w:hint="eastAsia" w:ascii="宋体" w:hAnsi="宋体" w:eastAsia="宋体" w:cs="宋体"/>
          <w:lang w:val="en-US" w:eastAsia="zh-CN"/>
        </w:rPr>
        <w:t>表6.3  山东威特化工有限公司2024年第二季度泄漏点复检表</w:t>
      </w:r>
      <w:bookmarkEnd w:id="106"/>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装置名称</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群组编码</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扩展编码</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设备位号</w:t>
            </w:r>
          </w:p>
        </w:tc>
        <w:tc>
          <w:tcPr>
            <w:tcW w:w="6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组件描述</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密封点类型</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复检前结果（µmol/mol）</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复检结果（µmol/mol）</w:t>
            </w:r>
          </w:p>
        </w:tc>
        <w:tc>
          <w:tcPr>
            <w:tcW w:w="4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sz w:val="21"/>
                <w:szCs w:val="21"/>
              </w:rPr>
              <w:t>储运装置</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XXXZG0-03-01-0186</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007C</w:t>
            </w:r>
          </w:p>
        </w:tc>
        <w:tc>
          <w:tcPr>
            <w:tcW w:w="151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混合碳四装车泵P-502B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混合碳四装车泵P-502B进料管线</w:t>
            </w:r>
          </w:p>
        </w:tc>
        <w:tc>
          <w:tcPr>
            <w:tcW w:w="1350" w:type="dxa"/>
            <w:tcBorders>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连接件</w:t>
            </w:r>
          </w:p>
        </w:tc>
        <w:tc>
          <w:tcPr>
            <w:tcW w:w="140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2477.6</w:t>
            </w:r>
          </w:p>
        </w:tc>
        <w:tc>
          <w:tcPr>
            <w:tcW w:w="1454"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 xml:space="preserve">12.8 </w:t>
            </w:r>
          </w:p>
        </w:tc>
        <w:tc>
          <w:tcPr>
            <w:tcW w:w="1321" w:type="dxa"/>
            <w:tcBorders>
              <w:tl2br w:val="nil"/>
              <w:tr2bl w:val="nil"/>
            </w:tcBorders>
            <w:shd w:val="clear" w:color="auto" w:fill="auto"/>
            <w:vAlign w:val="bottom"/>
          </w:tcPr>
          <w:p>
            <w:pPr>
              <w:keepNext w:val="0"/>
              <w:keepLines w:val="0"/>
              <w:widowControl/>
              <w:suppressLineNumbers w:val="0"/>
              <w:jc w:val="center"/>
              <w:textAlignment w:val="center"/>
              <w:rPr>
                <w:rFonts w:hint="default"/>
                <w:b w:val="0"/>
                <w:bCs w:val="0"/>
                <w:sz w:val="21"/>
                <w:szCs w:val="21"/>
                <w:lang w:val="en-US" w:eastAsia="zh-CN"/>
              </w:rPr>
            </w:pPr>
            <w:r>
              <w:rPr>
                <w:rFonts w:hint="default"/>
                <w:b w:val="0"/>
                <w:bCs w:val="0"/>
                <w:sz w:val="21"/>
                <w:szCs w:val="21"/>
                <w:lang w:val="en-US" w:eastAsia="zh-CN"/>
              </w:rPr>
              <w:t>2024/05/24 16:42:03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XXXZG0-04-01-0011</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001F</w:t>
            </w:r>
          </w:p>
        </w:tc>
        <w:tc>
          <w:tcPr>
            <w:tcW w:w="151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P-2201B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P-2201B进料管线</w:t>
            </w:r>
          </w:p>
        </w:tc>
        <w:tc>
          <w:tcPr>
            <w:tcW w:w="1350"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法兰</w:t>
            </w:r>
          </w:p>
        </w:tc>
        <w:tc>
          <w:tcPr>
            <w:tcW w:w="140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687.4</w:t>
            </w:r>
          </w:p>
        </w:tc>
        <w:tc>
          <w:tcPr>
            <w:tcW w:w="1454"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 xml:space="preserve">23.6 </w:t>
            </w:r>
          </w:p>
        </w:tc>
        <w:tc>
          <w:tcPr>
            <w:tcW w:w="1321" w:type="dxa"/>
            <w:tcBorders>
              <w:tl2br w:val="nil"/>
              <w:tr2bl w:val="nil"/>
            </w:tcBorders>
            <w:shd w:val="clear" w:color="auto" w:fill="auto"/>
            <w:vAlign w:val="bottom"/>
          </w:tcPr>
          <w:p>
            <w:pPr>
              <w:keepNext w:val="0"/>
              <w:keepLines w:val="0"/>
              <w:widowControl/>
              <w:suppressLineNumbers w:val="0"/>
              <w:jc w:val="center"/>
              <w:textAlignment w:val="center"/>
              <w:rPr>
                <w:rFonts w:hint="default"/>
                <w:b w:val="0"/>
                <w:bCs w:val="0"/>
                <w:sz w:val="21"/>
                <w:szCs w:val="21"/>
                <w:lang w:val="en-US" w:eastAsia="zh-CN"/>
              </w:rPr>
            </w:pPr>
            <w:r>
              <w:rPr>
                <w:rFonts w:hint="default"/>
                <w:b w:val="0"/>
                <w:bCs w:val="0"/>
                <w:sz w:val="21"/>
                <w:szCs w:val="21"/>
                <w:lang w:val="en-US" w:eastAsia="zh-CN"/>
              </w:rPr>
              <w:t>2024/05/24 16:47:11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XXXZG0-04-01-0041</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003F</w:t>
            </w:r>
          </w:p>
        </w:tc>
        <w:tc>
          <w:tcPr>
            <w:tcW w:w="151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P-3110B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P-3110B进料管线</w:t>
            </w:r>
          </w:p>
        </w:tc>
        <w:tc>
          <w:tcPr>
            <w:tcW w:w="1350"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法兰</w:t>
            </w:r>
          </w:p>
        </w:tc>
        <w:tc>
          <w:tcPr>
            <w:tcW w:w="140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2279.1</w:t>
            </w:r>
          </w:p>
        </w:tc>
        <w:tc>
          <w:tcPr>
            <w:tcW w:w="1454"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 xml:space="preserve">14.2 </w:t>
            </w:r>
          </w:p>
        </w:tc>
        <w:tc>
          <w:tcPr>
            <w:tcW w:w="1321" w:type="dxa"/>
            <w:tcBorders>
              <w:tl2br w:val="nil"/>
              <w:tr2bl w:val="nil"/>
            </w:tcBorders>
            <w:shd w:val="clear" w:color="auto" w:fill="auto"/>
            <w:vAlign w:val="bottom"/>
          </w:tcPr>
          <w:p>
            <w:pPr>
              <w:keepNext w:val="0"/>
              <w:keepLines w:val="0"/>
              <w:widowControl/>
              <w:suppressLineNumbers w:val="0"/>
              <w:jc w:val="center"/>
              <w:textAlignment w:val="center"/>
              <w:rPr>
                <w:rFonts w:hint="default"/>
                <w:b w:val="0"/>
                <w:bCs w:val="0"/>
                <w:sz w:val="21"/>
                <w:szCs w:val="21"/>
                <w:lang w:val="en-US" w:eastAsia="zh-CN"/>
              </w:rPr>
            </w:pPr>
            <w:r>
              <w:rPr>
                <w:rFonts w:hint="default"/>
                <w:b w:val="0"/>
                <w:bCs w:val="0"/>
                <w:sz w:val="21"/>
                <w:szCs w:val="21"/>
                <w:lang w:val="en-US" w:eastAsia="zh-CN"/>
              </w:rPr>
              <w:t>2024/05/24 16:52:42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2162"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XXXZG0-04-01-0101</w:t>
            </w:r>
          </w:p>
        </w:tc>
        <w:tc>
          <w:tcPr>
            <w:tcW w:w="83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004O</w:t>
            </w:r>
          </w:p>
        </w:tc>
        <w:tc>
          <w:tcPr>
            <w:tcW w:w="151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4号装卸车</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sz w:val="21"/>
                <w:szCs w:val="21"/>
                <w:lang w:val="en-US" w:eastAsia="zh-CN"/>
              </w:rPr>
              <w:t>4号装卸车进料管线</w:t>
            </w:r>
          </w:p>
        </w:tc>
        <w:tc>
          <w:tcPr>
            <w:tcW w:w="1350"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开口阀或开口管线</w:t>
            </w:r>
          </w:p>
        </w:tc>
        <w:tc>
          <w:tcPr>
            <w:tcW w:w="1408"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670.9</w:t>
            </w:r>
          </w:p>
        </w:tc>
        <w:tc>
          <w:tcPr>
            <w:tcW w:w="1454" w:type="dxa"/>
            <w:tcBorders>
              <w:tl2br w:val="nil"/>
              <w:tr2bl w:val="nil"/>
            </w:tcBorders>
            <w:shd w:val="clear" w:color="auto" w:fill="auto"/>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 xml:space="preserve">12.7 </w:t>
            </w:r>
          </w:p>
        </w:tc>
        <w:tc>
          <w:tcPr>
            <w:tcW w:w="1321" w:type="dxa"/>
            <w:tcBorders>
              <w:tl2br w:val="nil"/>
              <w:tr2bl w:val="nil"/>
            </w:tcBorders>
            <w:shd w:val="clear" w:color="auto" w:fill="auto"/>
            <w:vAlign w:val="bottom"/>
          </w:tcPr>
          <w:p>
            <w:pPr>
              <w:keepNext w:val="0"/>
              <w:keepLines w:val="0"/>
              <w:widowControl/>
              <w:suppressLineNumbers w:val="0"/>
              <w:jc w:val="center"/>
              <w:textAlignment w:val="center"/>
              <w:rPr>
                <w:rFonts w:hint="default"/>
                <w:b w:val="0"/>
                <w:bCs w:val="0"/>
                <w:sz w:val="21"/>
                <w:szCs w:val="21"/>
                <w:lang w:val="en-US" w:eastAsia="zh-CN"/>
              </w:rPr>
            </w:pPr>
            <w:r>
              <w:rPr>
                <w:rFonts w:hint="default"/>
                <w:b w:val="0"/>
                <w:bCs w:val="0"/>
                <w:sz w:val="21"/>
                <w:szCs w:val="21"/>
                <w:lang w:val="en-US" w:eastAsia="zh-CN"/>
              </w:rPr>
              <w:t>2024/05/24 16:56:39</w:t>
            </w:r>
          </w:p>
        </w:tc>
      </w:tr>
    </w:tbl>
    <w:p>
      <w:pPr>
        <w:rPr>
          <w:rFonts w:hint="eastAsia"/>
          <w:lang w:val="en-US" w:eastAsia="zh-CN"/>
        </w:rPr>
      </w:pPr>
      <w:r>
        <w:rPr>
          <w:rFonts w:hint="eastAsia"/>
          <w:lang w:eastAsia="zh-CN"/>
        </w:rPr>
        <w:tab/>
      </w:r>
      <w:r>
        <w:rPr>
          <w:rFonts w:hint="eastAsia"/>
          <w:lang w:val="en-US" w:eastAsia="zh-CN"/>
        </w:rPr>
        <w:t xml:space="preserve">                   </w:t>
      </w:r>
    </w:p>
    <w:p>
      <w:pPr>
        <w:ind w:firstLine="2880" w:firstLineChars="1200"/>
        <w:rPr>
          <w:rFonts w:hint="default"/>
          <w:lang w:val="en-US" w:eastAsia="zh-CN"/>
        </w:rPr>
      </w:pPr>
      <w:r>
        <w:rPr>
          <w:rFonts w:hint="eastAsia"/>
          <w:lang w:val="en-US" w:eastAsia="zh-CN"/>
        </w:rPr>
        <w:t xml:space="preserve">  ****************************</w:t>
      </w:r>
      <w:r>
        <w:rPr>
          <w:rFonts w:hint="eastAsia"/>
          <w:b/>
          <w:bCs/>
          <w:lang w:val="en-US" w:eastAsia="zh-CN"/>
        </w:rPr>
        <w:t>本报告结束</w:t>
      </w:r>
      <w:r>
        <w:rPr>
          <w:rFonts w:hint="eastAsia"/>
          <w:lang w:val="en-US" w:eastAsia="zh-CN"/>
        </w:rPr>
        <w:t>****************************</w:t>
      </w:r>
    </w:p>
    <w:p>
      <w:pPr>
        <w:pStyle w:val="23"/>
        <w:jc w:val="both"/>
        <w:outlineLvl w:val="9"/>
        <w:rPr>
          <w:rFonts w:hint="default"/>
          <w:lang w:val="en-US" w:eastAsia="zh-CN"/>
        </w:rPr>
      </w:pPr>
      <w:r>
        <w:rPr>
          <w:rFonts w:hint="eastAsia" w:ascii="宋体" w:hAnsi="宋体" w:cs="宋体"/>
          <w:color w:val="000000"/>
          <w:kern w:val="2"/>
          <w:sz w:val="21"/>
          <w:szCs w:val="22"/>
          <w:lang w:val="en-US" w:eastAsia="zh-CN" w:bidi="ar-SA"/>
        </w:rPr>
        <w:t xml:space="preserve">                          </w:t>
      </w:r>
    </w:p>
    <w:sectPr>
      <w:headerReference r:id="rId14" w:type="default"/>
      <w:footerReference r:id="rId15"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4384;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报告编号：（E检）字（2024）0015号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报告编号：（E检）字（2024）0015号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72576"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报告编号：（E检）字（2024）0015号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0528"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报告编号：（E检）字（2024）0015号</w:t>
    </w:r>
    <w:r>
      <w:rPr>
        <w:rFonts w:hint="eastAsia"/>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360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报告编号：（E检）字（2024）0015号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0NWI4Zjk2MzQ0YzZkM2U5OTA4MGI4MzE2NDAifQ=="/>
  </w:docVars>
  <w:rsids>
    <w:rsidRoot w:val="00000000"/>
    <w:rsid w:val="000969AD"/>
    <w:rsid w:val="000E3FC3"/>
    <w:rsid w:val="00135135"/>
    <w:rsid w:val="00164C26"/>
    <w:rsid w:val="00321CCF"/>
    <w:rsid w:val="003B7162"/>
    <w:rsid w:val="004E43BF"/>
    <w:rsid w:val="005D2854"/>
    <w:rsid w:val="007A51B4"/>
    <w:rsid w:val="00885B23"/>
    <w:rsid w:val="008D4D74"/>
    <w:rsid w:val="009A6B35"/>
    <w:rsid w:val="00A73864"/>
    <w:rsid w:val="00AD10E6"/>
    <w:rsid w:val="00DA5C53"/>
    <w:rsid w:val="00E52F76"/>
    <w:rsid w:val="01080A12"/>
    <w:rsid w:val="01086C64"/>
    <w:rsid w:val="01415CD2"/>
    <w:rsid w:val="01457570"/>
    <w:rsid w:val="01465D58"/>
    <w:rsid w:val="01674A91"/>
    <w:rsid w:val="01692BFA"/>
    <w:rsid w:val="01714809"/>
    <w:rsid w:val="018952FE"/>
    <w:rsid w:val="018A58CB"/>
    <w:rsid w:val="019B2BD9"/>
    <w:rsid w:val="01F80A87"/>
    <w:rsid w:val="021D105C"/>
    <w:rsid w:val="023D0B8F"/>
    <w:rsid w:val="02781BC8"/>
    <w:rsid w:val="02881E0B"/>
    <w:rsid w:val="029F00AC"/>
    <w:rsid w:val="02A72070"/>
    <w:rsid w:val="02C1356F"/>
    <w:rsid w:val="02DA1F3A"/>
    <w:rsid w:val="02E34B7F"/>
    <w:rsid w:val="02F25FCD"/>
    <w:rsid w:val="02F70D3E"/>
    <w:rsid w:val="02FA438B"/>
    <w:rsid w:val="030B2DD4"/>
    <w:rsid w:val="03100052"/>
    <w:rsid w:val="031511C4"/>
    <w:rsid w:val="03392C07"/>
    <w:rsid w:val="033F00F2"/>
    <w:rsid w:val="034C72DC"/>
    <w:rsid w:val="034F0AF5"/>
    <w:rsid w:val="035F6CF1"/>
    <w:rsid w:val="037665D5"/>
    <w:rsid w:val="03936CB9"/>
    <w:rsid w:val="03B22EB7"/>
    <w:rsid w:val="03C74F98"/>
    <w:rsid w:val="03D911C1"/>
    <w:rsid w:val="03FF4509"/>
    <w:rsid w:val="04336046"/>
    <w:rsid w:val="04365580"/>
    <w:rsid w:val="0458352F"/>
    <w:rsid w:val="045D72C7"/>
    <w:rsid w:val="046154B9"/>
    <w:rsid w:val="047828C4"/>
    <w:rsid w:val="04892F2B"/>
    <w:rsid w:val="04DA0918"/>
    <w:rsid w:val="04DF7CDC"/>
    <w:rsid w:val="05191440"/>
    <w:rsid w:val="052878D5"/>
    <w:rsid w:val="05432019"/>
    <w:rsid w:val="055E0A65"/>
    <w:rsid w:val="05762C96"/>
    <w:rsid w:val="05894800"/>
    <w:rsid w:val="059135A8"/>
    <w:rsid w:val="05BE42EB"/>
    <w:rsid w:val="06135E8F"/>
    <w:rsid w:val="061439B5"/>
    <w:rsid w:val="06143BE5"/>
    <w:rsid w:val="061A08DC"/>
    <w:rsid w:val="0624009C"/>
    <w:rsid w:val="062F07EF"/>
    <w:rsid w:val="06345E06"/>
    <w:rsid w:val="06347F9B"/>
    <w:rsid w:val="06845857"/>
    <w:rsid w:val="0687062B"/>
    <w:rsid w:val="06897EFF"/>
    <w:rsid w:val="0696086E"/>
    <w:rsid w:val="06AD62E4"/>
    <w:rsid w:val="06C4362D"/>
    <w:rsid w:val="06E16F8E"/>
    <w:rsid w:val="070E2AFA"/>
    <w:rsid w:val="070E6657"/>
    <w:rsid w:val="07342561"/>
    <w:rsid w:val="07472FAE"/>
    <w:rsid w:val="07504EC1"/>
    <w:rsid w:val="07554285"/>
    <w:rsid w:val="077566D6"/>
    <w:rsid w:val="079A613C"/>
    <w:rsid w:val="07A07E9A"/>
    <w:rsid w:val="07B45CC6"/>
    <w:rsid w:val="07DB478B"/>
    <w:rsid w:val="07EF0236"/>
    <w:rsid w:val="07F95559"/>
    <w:rsid w:val="08034820"/>
    <w:rsid w:val="08144141"/>
    <w:rsid w:val="08236132"/>
    <w:rsid w:val="087A0447"/>
    <w:rsid w:val="089A6539"/>
    <w:rsid w:val="08BF496D"/>
    <w:rsid w:val="08C571E9"/>
    <w:rsid w:val="08DB4A20"/>
    <w:rsid w:val="08F31FA8"/>
    <w:rsid w:val="09293C1C"/>
    <w:rsid w:val="092C7268"/>
    <w:rsid w:val="09436A8B"/>
    <w:rsid w:val="094B3B92"/>
    <w:rsid w:val="09784E13"/>
    <w:rsid w:val="09842C00"/>
    <w:rsid w:val="098F629B"/>
    <w:rsid w:val="099948FD"/>
    <w:rsid w:val="09C33728"/>
    <w:rsid w:val="09C63218"/>
    <w:rsid w:val="09EA2DF9"/>
    <w:rsid w:val="0A1977EC"/>
    <w:rsid w:val="0A306BC3"/>
    <w:rsid w:val="0A310FDA"/>
    <w:rsid w:val="0A3463D4"/>
    <w:rsid w:val="0A5D3B7D"/>
    <w:rsid w:val="0A681350"/>
    <w:rsid w:val="0A9357F1"/>
    <w:rsid w:val="0A981059"/>
    <w:rsid w:val="0AE147AE"/>
    <w:rsid w:val="0B2A197E"/>
    <w:rsid w:val="0B3B01C0"/>
    <w:rsid w:val="0B3F3282"/>
    <w:rsid w:val="0B4E7969"/>
    <w:rsid w:val="0B7F3FC7"/>
    <w:rsid w:val="0B9510F4"/>
    <w:rsid w:val="0B9730BE"/>
    <w:rsid w:val="0B9A495D"/>
    <w:rsid w:val="0BA14992"/>
    <w:rsid w:val="0BB21CA6"/>
    <w:rsid w:val="0BB56CC5"/>
    <w:rsid w:val="0BD55995"/>
    <w:rsid w:val="0C1452FE"/>
    <w:rsid w:val="0C245EB6"/>
    <w:rsid w:val="0C474AE5"/>
    <w:rsid w:val="0CA27B19"/>
    <w:rsid w:val="0CAC4948"/>
    <w:rsid w:val="0CBD6B55"/>
    <w:rsid w:val="0CCF7855"/>
    <w:rsid w:val="0CD93263"/>
    <w:rsid w:val="0CF87B8D"/>
    <w:rsid w:val="0CFB767D"/>
    <w:rsid w:val="0D1A5D55"/>
    <w:rsid w:val="0D264448"/>
    <w:rsid w:val="0D4E1EA3"/>
    <w:rsid w:val="0D9A6E96"/>
    <w:rsid w:val="0DB5782C"/>
    <w:rsid w:val="0DC932D7"/>
    <w:rsid w:val="0DDC125D"/>
    <w:rsid w:val="0E056A05"/>
    <w:rsid w:val="0E407A3D"/>
    <w:rsid w:val="0E433324"/>
    <w:rsid w:val="0E72396F"/>
    <w:rsid w:val="0E7D2A40"/>
    <w:rsid w:val="0E884F40"/>
    <w:rsid w:val="0E9B42A4"/>
    <w:rsid w:val="0EC74C14"/>
    <w:rsid w:val="0EC95C85"/>
    <w:rsid w:val="0F205179"/>
    <w:rsid w:val="0F3B0205"/>
    <w:rsid w:val="0F575422"/>
    <w:rsid w:val="0F8B2F3A"/>
    <w:rsid w:val="0FD8265B"/>
    <w:rsid w:val="10032854"/>
    <w:rsid w:val="1043621B"/>
    <w:rsid w:val="104E5D16"/>
    <w:rsid w:val="1080338A"/>
    <w:rsid w:val="10947BCD"/>
    <w:rsid w:val="10967DE9"/>
    <w:rsid w:val="109C2F25"/>
    <w:rsid w:val="10E5667A"/>
    <w:rsid w:val="10EC7A09"/>
    <w:rsid w:val="10F20D97"/>
    <w:rsid w:val="11143E95"/>
    <w:rsid w:val="111B7552"/>
    <w:rsid w:val="111D5E14"/>
    <w:rsid w:val="11361987"/>
    <w:rsid w:val="1147452F"/>
    <w:rsid w:val="11D82B0C"/>
    <w:rsid w:val="11DD55A3"/>
    <w:rsid w:val="11E42DD6"/>
    <w:rsid w:val="120D40DA"/>
    <w:rsid w:val="122D2382"/>
    <w:rsid w:val="12386C7D"/>
    <w:rsid w:val="126F6B43"/>
    <w:rsid w:val="12747CB6"/>
    <w:rsid w:val="128123D2"/>
    <w:rsid w:val="12867959"/>
    <w:rsid w:val="12C86A56"/>
    <w:rsid w:val="12CF75E2"/>
    <w:rsid w:val="12DC585B"/>
    <w:rsid w:val="12E7492B"/>
    <w:rsid w:val="131A4BDF"/>
    <w:rsid w:val="13225964"/>
    <w:rsid w:val="13255454"/>
    <w:rsid w:val="133B313A"/>
    <w:rsid w:val="133E02C4"/>
    <w:rsid w:val="13482EF0"/>
    <w:rsid w:val="1356385F"/>
    <w:rsid w:val="13623FB2"/>
    <w:rsid w:val="138F5895"/>
    <w:rsid w:val="13C47848"/>
    <w:rsid w:val="13D529D6"/>
    <w:rsid w:val="13DD7ADC"/>
    <w:rsid w:val="140432BB"/>
    <w:rsid w:val="14103A0E"/>
    <w:rsid w:val="14237BE5"/>
    <w:rsid w:val="1427799C"/>
    <w:rsid w:val="145204CA"/>
    <w:rsid w:val="146C3693"/>
    <w:rsid w:val="14706BA3"/>
    <w:rsid w:val="14C111AC"/>
    <w:rsid w:val="14CF7E31"/>
    <w:rsid w:val="15086DDB"/>
    <w:rsid w:val="1524402C"/>
    <w:rsid w:val="1546345F"/>
    <w:rsid w:val="15507EB4"/>
    <w:rsid w:val="155335C5"/>
    <w:rsid w:val="15787ABD"/>
    <w:rsid w:val="1594066F"/>
    <w:rsid w:val="15CA4090"/>
    <w:rsid w:val="15DA2525"/>
    <w:rsid w:val="15E6711C"/>
    <w:rsid w:val="15E970BB"/>
    <w:rsid w:val="15FE1B72"/>
    <w:rsid w:val="15FF1F8C"/>
    <w:rsid w:val="162B4B2F"/>
    <w:rsid w:val="16347A1B"/>
    <w:rsid w:val="16377978"/>
    <w:rsid w:val="167C4399"/>
    <w:rsid w:val="167F30CD"/>
    <w:rsid w:val="168516ED"/>
    <w:rsid w:val="168C249A"/>
    <w:rsid w:val="16AA639C"/>
    <w:rsid w:val="16E3540A"/>
    <w:rsid w:val="16EF3DAF"/>
    <w:rsid w:val="17013AE2"/>
    <w:rsid w:val="17035AAC"/>
    <w:rsid w:val="17575DF8"/>
    <w:rsid w:val="177F5383"/>
    <w:rsid w:val="17944956"/>
    <w:rsid w:val="17B61B17"/>
    <w:rsid w:val="17BB1D6F"/>
    <w:rsid w:val="17BE19D3"/>
    <w:rsid w:val="17C21250"/>
    <w:rsid w:val="17C55F96"/>
    <w:rsid w:val="17E82683"/>
    <w:rsid w:val="17F11DA8"/>
    <w:rsid w:val="17FB6783"/>
    <w:rsid w:val="18097F2F"/>
    <w:rsid w:val="180C273E"/>
    <w:rsid w:val="181F06C4"/>
    <w:rsid w:val="1821268E"/>
    <w:rsid w:val="183C5270"/>
    <w:rsid w:val="186F1BC2"/>
    <w:rsid w:val="18925339"/>
    <w:rsid w:val="18C96881"/>
    <w:rsid w:val="18CA0886"/>
    <w:rsid w:val="18CB084B"/>
    <w:rsid w:val="18CE2D30"/>
    <w:rsid w:val="18E762A1"/>
    <w:rsid w:val="191E097B"/>
    <w:rsid w:val="191F64A1"/>
    <w:rsid w:val="192341E3"/>
    <w:rsid w:val="19526877"/>
    <w:rsid w:val="19726F19"/>
    <w:rsid w:val="19866520"/>
    <w:rsid w:val="19932D33"/>
    <w:rsid w:val="19AE2B52"/>
    <w:rsid w:val="19CB5E4C"/>
    <w:rsid w:val="19CD414F"/>
    <w:rsid w:val="19E33973"/>
    <w:rsid w:val="19FB2A6A"/>
    <w:rsid w:val="1A1F0E4F"/>
    <w:rsid w:val="1A497C7A"/>
    <w:rsid w:val="1A4B0100"/>
    <w:rsid w:val="1A4B5654"/>
    <w:rsid w:val="1A5A1E87"/>
    <w:rsid w:val="1A5B5BFF"/>
    <w:rsid w:val="1A6241C8"/>
    <w:rsid w:val="1A7C578A"/>
    <w:rsid w:val="1A825E26"/>
    <w:rsid w:val="1A89276C"/>
    <w:rsid w:val="1ABA2925"/>
    <w:rsid w:val="1ABD5F72"/>
    <w:rsid w:val="1AC742B5"/>
    <w:rsid w:val="1AE6371B"/>
    <w:rsid w:val="1AFF658A"/>
    <w:rsid w:val="1B0D6EF9"/>
    <w:rsid w:val="1B6D5BEA"/>
    <w:rsid w:val="1B740D26"/>
    <w:rsid w:val="1B862808"/>
    <w:rsid w:val="1BF12377"/>
    <w:rsid w:val="1C002210"/>
    <w:rsid w:val="1C0302FC"/>
    <w:rsid w:val="1C033E58"/>
    <w:rsid w:val="1C1E0C92"/>
    <w:rsid w:val="1C3404B6"/>
    <w:rsid w:val="1C424981"/>
    <w:rsid w:val="1C4C57FF"/>
    <w:rsid w:val="1C760ACE"/>
    <w:rsid w:val="1C8A6328"/>
    <w:rsid w:val="1C99656B"/>
    <w:rsid w:val="1CB03FE0"/>
    <w:rsid w:val="1CB11B06"/>
    <w:rsid w:val="1CB533A4"/>
    <w:rsid w:val="1CB6536F"/>
    <w:rsid w:val="1CBB2985"/>
    <w:rsid w:val="1CE10018"/>
    <w:rsid w:val="1D1C78C7"/>
    <w:rsid w:val="1D2D5631"/>
    <w:rsid w:val="1D2F0211"/>
    <w:rsid w:val="1D41732E"/>
    <w:rsid w:val="1D4A4435"/>
    <w:rsid w:val="1D75199D"/>
    <w:rsid w:val="1D81597C"/>
    <w:rsid w:val="1D8D2573"/>
    <w:rsid w:val="1D90796E"/>
    <w:rsid w:val="1DD91315"/>
    <w:rsid w:val="1DD97409"/>
    <w:rsid w:val="1DDC0E05"/>
    <w:rsid w:val="1DF4614E"/>
    <w:rsid w:val="1E087E4C"/>
    <w:rsid w:val="1E220F0E"/>
    <w:rsid w:val="1E4744D0"/>
    <w:rsid w:val="1E4A5D6E"/>
    <w:rsid w:val="1EC127E5"/>
    <w:rsid w:val="1EC30D1B"/>
    <w:rsid w:val="1EC51899"/>
    <w:rsid w:val="1EC57AEB"/>
    <w:rsid w:val="1ED81A83"/>
    <w:rsid w:val="1EEC217F"/>
    <w:rsid w:val="1F1D7927"/>
    <w:rsid w:val="1F262338"/>
    <w:rsid w:val="1F58182F"/>
    <w:rsid w:val="1F58270D"/>
    <w:rsid w:val="1F827CB2"/>
    <w:rsid w:val="1F882FF2"/>
    <w:rsid w:val="1F8B366A"/>
    <w:rsid w:val="1F9574BD"/>
    <w:rsid w:val="1FA12306"/>
    <w:rsid w:val="1FA616CA"/>
    <w:rsid w:val="1FA871F0"/>
    <w:rsid w:val="1FAC759E"/>
    <w:rsid w:val="1FF266BE"/>
    <w:rsid w:val="1FFC12EA"/>
    <w:rsid w:val="20564E9E"/>
    <w:rsid w:val="20566C4C"/>
    <w:rsid w:val="20695996"/>
    <w:rsid w:val="20825C93"/>
    <w:rsid w:val="208512E0"/>
    <w:rsid w:val="20AB2CE9"/>
    <w:rsid w:val="20C04E62"/>
    <w:rsid w:val="20EA55E7"/>
    <w:rsid w:val="211803A6"/>
    <w:rsid w:val="214116AB"/>
    <w:rsid w:val="214259F5"/>
    <w:rsid w:val="2158624D"/>
    <w:rsid w:val="217A0481"/>
    <w:rsid w:val="21A32365"/>
    <w:rsid w:val="21A94385"/>
    <w:rsid w:val="21C85928"/>
    <w:rsid w:val="21E851B1"/>
    <w:rsid w:val="21EF55AB"/>
    <w:rsid w:val="21F42BC1"/>
    <w:rsid w:val="224376A4"/>
    <w:rsid w:val="224E271B"/>
    <w:rsid w:val="22714212"/>
    <w:rsid w:val="22992BFF"/>
    <w:rsid w:val="22AF6AE8"/>
    <w:rsid w:val="22C407E5"/>
    <w:rsid w:val="22D14CB0"/>
    <w:rsid w:val="22D8603F"/>
    <w:rsid w:val="22F30AA5"/>
    <w:rsid w:val="23007343"/>
    <w:rsid w:val="232D45BC"/>
    <w:rsid w:val="23303437"/>
    <w:rsid w:val="233174FD"/>
    <w:rsid w:val="2335523F"/>
    <w:rsid w:val="23421F95"/>
    <w:rsid w:val="23AC3027"/>
    <w:rsid w:val="240D3AC6"/>
    <w:rsid w:val="24156E1F"/>
    <w:rsid w:val="242C1EF7"/>
    <w:rsid w:val="243335E7"/>
    <w:rsid w:val="246062EC"/>
    <w:rsid w:val="2463402E"/>
    <w:rsid w:val="249661B1"/>
    <w:rsid w:val="24990502"/>
    <w:rsid w:val="24AC7783"/>
    <w:rsid w:val="24B634E8"/>
    <w:rsid w:val="24F15196"/>
    <w:rsid w:val="252707D2"/>
    <w:rsid w:val="2536529E"/>
    <w:rsid w:val="2580651A"/>
    <w:rsid w:val="258946AB"/>
    <w:rsid w:val="258B6B8A"/>
    <w:rsid w:val="25981AB5"/>
    <w:rsid w:val="25C97EC1"/>
    <w:rsid w:val="25D419BB"/>
    <w:rsid w:val="25F50CB6"/>
    <w:rsid w:val="2604171C"/>
    <w:rsid w:val="26144D4E"/>
    <w:rsid w:val="26190E48"/>
    <w:rsid w:val="26306192"/>
    <w:rsid w:val="264E5315"/>
    <w:rsid w:val="26741610"/>
    <w:rsid w:val="26751DF6"/>
    <w:rsid w:val="26A8654C"/>
    <w:rsid w:val="26BC17D3"/>
    <w:rsid w:val="26CF3B03"/>
    <w:rsid w:val="26E94069"/>
    <w:rsid w:val="270E195B"/>
    <w:rsid w:val="27160EE4"/>
    <w:rsid w:val="27172737"/>
    <w:rsid w:val="273121C1"/>
    <w:rsid w:val="27792C23"/>
    <w:rsid w:val="277A3B68"/>
    <w:rsid w:val="277F4CDB"/>
    <w:rsid w:val="27A42993"/>
    <w:rsid w:val="27B30E28"/>
    <w:rsid w:val="27BD3A55"/>
    <w:rsid w:val="27BD555B"/>
    <w:rsid w:val="27C60B5C"/>
    <w:rsid w:val="27E47234"/>
    <w:rsid w:val="27F751B9"/>
    <w:rsid w:val="28061AB2"/>
    <w:rsid w:val="280C22E7"/>
    <w:rsid w:val="28326670"/>
    <w:rsid w:val="28913C92"/>
    <w:rsid w:val="28A32C4B"/>
    <w:rsid w:val="28B27332"/>
    <w:rsid w:val="28B9246E"/>
    <w:rsid w:val="28BC1F5F"/>
    <w:rsid w:val="28ED3EC6"/>
    <w:rsid w:val="29257B04"/>
    <w:rsid w:val="297653C6"/>
    <w:rsid w:val="29A232CE"/>
    <w:rsid w:val="29A24CB1"/>
    <w:rsid w:val="29D50F6E"/>
    <w:rsid w:val="29E4176D"/>
    <w:rsid w:val="29EA3434"/>
    <w:rsid w:val="2A0616E3"/>
    <w:rsid w:val="2A1853C2"/>
    <w:rsid w:val="2A1C2CB5"/>
    <w:rsid w:val="2A297180"/>
    <w:rsid w:val="2A691C72"/>
    <w:rsid w:val="2A70263E"/>
    <w:rsid w:val="2A9036A3"/>
    <w:rsid w:val="2A930A9D"/>
    <w:rsid w:val="2ADC41F2"/>
    <w:rsid w:val="2B2160A9"/>
    <w:rsid w:val="2B342280"/>
    <w:rsid w:val="2B9B05D5"/>
    <w:rsid w:val="2BA2543C"/>
    <w:rsid w:val="2BAC4B69"/>
    <w:rsid w:val="2BB1567F"/>
    <w:rsid w:val="2BDB094E"/>
    <w:rsid w:val="2BE041B6"/>
    <w:rsid w:val="2BFA0DD4"/>
    <w:rsid w:val="2C0559CB"/>
    <w:rsid w:val="2C2B3683"/>
    <w:rsid w:val="2C532BDA"/>
    <w:rsid w:val="2C5A5D16"/>
    <w:rsid w:val="2C5A78B7"/>
    <w:rsid w:val="2C622E1D"/>
    <w:rsid w:val="2C624BCB"/>
    <w:rsid w:val="2C640943"/>
    <w:rsid w:val="2C772424"/>
    <w:rsid w:val="2C7C3EDF"/>
    <w:rsid w:val="2CAD4098"/>
    <w:rsid w:val="2CB25B52"/>
    <w:rsid w:val="2CC31B0E"/>
    <w:rsid w:val="2D047A30"/>
    <w:rsid w:val="2D0839C4"/>
    <w:rsid w:val="2D144117"/>
    <w:rsid w:val="2D25180A"/>
    <w:rsid w:val="2D405CF2"/>
    <w:rsid w:val="2D5E35E4"/>
    <w:rsid w:val="2DA37249"/>
    <w:rsid w:val="2DC60AC5"/>
    <w:rsid w:val="2DC84F02"/>
    <w:rsid w:val="2DD45BA6"/>
    <w:rsid w:val="2DD90EBD"/>
    <w:rsid w:val="2DF33D2D"/>
    <w:rsid w:val="2E20089A"/>
    <w:rsid w:val="2E4A57EF"/>
    <w:rsid w:val="2E541F3F"/>
    <w:rsid w:val="2E552C39"/>
    <w:rsid w:val="2E5D6188"/>
    <w:rsid w:val="2E6438CA"/>
    <w:rsid w:val="2E8A3FDD"/>
    <w:rsid w:val="2EAB0AAB"/>
    <w:rsid w:val="2ED973C6"/>
    <w:rsid w:val="2EEE0998"/>
    <w:rsid w:val="2EFE507F"/>
    <w:rsid w:val="2F032695"/>
    <w:rsid w:val="2F121D72"/>
    <w:rsid w:val="2F3E547B"/>
    <w:rsid w:val="2F563360"/>
    <w:rsid w:val="2F633D0C"/>
    <w:rsid w:val="2F745341"/>
    <w:rsid w:val="2F8B61E7"/>
    <w:rsid w:val="2F986E4E"/>
    <w:rsid w:val="2FA63021"/>
    <w:rsid w:val="30055F99"/>
    <w:rsid w:val="304F498E"/>
    <w:rsid w:val="30607673"/>
    <w:rsid w:val="30676C54"/>
    <w:rsid w:val="30A27C8C"/>
    <w:rsid w:val="30B55C11"/>
    <w:rsid w:val="30B8125D"/>
    <w:rsid w:val="30BF439A"/>
    <w:rsid w:val="30CA2B31"/>
    <w:rsid w:val="31085D41"/>
    <w:rsid w:val="310E70CF"/>
    <w:rsid w:val="312A215B"/>
    <w:rsid w:val="31501496"/>
    <w:rsid w:val="31750EFD"/>
    <w:rsid w:val="317E6003"/>
    <w:rsid w:val="31903F88"/>
    <w:rsid w:val="319E7B66"/>
    <w:rsid w:val="31A35A6A"/>
    <w:rsid w:val="31A57A34"/>
    <w:rsid w:val="31AD0696"/>
    <w:rsid w:val="31B67AC5"/>
    <w:rsid w:val="31BD2FCF"/>
    <w:rsid w:val="31C14142"/>
    <w:rsid w:val="31E57E30"/>
    <w:rsid w:val="31F938DC"/>
    <w:rsid w:val="32116E77"/>
    <w:rsid w:val="321D1CFC"/>
    <w:rsid w:val="322779B9"/>
    <w:rsid w:val="3229655F"/>
    <w:rsid w:val="322C1F03"/>
    <w:rsid w:val="324657AF"/>
    <w:rsid w:val="32676A97"/>
    <w:rsid w:val="32804A35"/>
    <w:rsid w:val="32805DAB"/>
    <w:rsid w:val="32AA2E28"/>
    <w:rsid w:val="32AA7D8C"/>
    <w:rsid w:val="32AC42BE"/>
    <w:rsid w:val="32B55A55"/>
    <w:rsid w:val="32BA306B"/>
    <w:rsid w:val="32C91500"/>
    <w:rsid w:val="32CB1F6F"/>
    <w:rsid w:val="32D00AE0"/>
    <w:rsid w:val="32F36EE6"/>
    <w:rsid w:val="330A1DBD"/>
    <w:rsid w:val="332130EA"/>
    <w:rsid w:val="333C43C8"/>
    <w:rsid w:val="33811DDB"/>
    <w:rsid w:val="33BF2903"/>
    <w:rsid w:val="33DC34B5"/>
    <w:rsid w:val="33E12879"/>
    <w:rsid w:val="33EF414B"/>
    <w:rsid w:val="33F56325"/>
    <w:rsid w:val="34014CC9"/>
    <w:rsid w:val="342235BE"/>
    <w:rsid w:val="34264730"/>
    <w:rsid w:val="34557FC2"/>
    <w:rsid w:val="34675474"/>
    <w:rsid w:val="34833930"/>
    <w:rsid w:val="34A55F9D"/>
    <w:rsid w:val="34B00BC9"/>
    <w:rsid w:val="34B63D06"/>
    <w:rsid w:val="34E62997"/>
    <w:rsid w:val="34F860CC"/>
    <w:rsid w:val="35076310"/>
    <w:rsid w:val="3509652C"/>
    <w:rsid w:val="353115DE"/>
    <w:rsid w:val="356A6B9F"/>
    <w:rsid w:val="35773495"/>
    <w:rsid w:val="35951B6D"/>
    <w:rsid w:val="35973B37"/>
    <w:rsid w:val="359F479A"/>
    <w:rsid w:val="35E36B0D"/>
    <w:rsid w:val="36201D7F"/>
    <w:rsid w:val="36256637"/>
    <w:rsid w:val="362722E5"/>
    <w:rsid w:val="362F3D70"/>
    <w:rsid w:val="36301F89"/>
    <w:rsid w:val="36563EA7"/>
    <w:rsid w:val="368045CB"/>
    <w:rsid w:val="36883480"/>
    <w:rsid w:val="369342FF"/>
    <w:rsid w:val="369938DF"/>
    <w:rsid w:val="36AE738B"/>
    <w:rsid w:val="36B75906"/>
    <w:rsid w:val="370B658B"/>
    <w:rsid w:val="371116C7"/>
    <w:rsid w:val="373F4487"/>
    <w:rsid w:val="3757357E"/>
    <w:rsid w:val="3759160B"/>
    <w:rsid w:val="377834F5"/>
    <w:rsid w:val="37B60986"/>
    <w:rsid w:val="37B6190D"/>
    <w:rsid w:val="37BC1633"/>
    <w:rsid w:val="37D03331"/>
    <w:rsid w:val="37D921E5"/>
    <w:rsid w:val="37DD2E0C"/>
    <w:rsid w:val="37EF6127"/>
    <w:rsid w:val="37F0752F"/>
    <w:rsid w:val="37FB65FF"/>
    <w:rsid w:val="38107BD1"/>
    <w:rsid w:val="38154031"/>
    <w:rsid w:val="38190834"/>
    <w:rsid w:val="38305B7D"/>
    <w:rsid w:val="384C4EC2"/>
    <w:rsid w:val="38743CBC"/>
    <w:rsid w:val="388D05D2"/>
    <w:rsid w:val="38B95B73"/>
    <w:rsid w:val="38C06F01"/>
    <w:rsid w:val="38C20ECB"/>
    <w:rsid w:val="38DB01DF"/>
    <w:rsid w:val="38E34501"/>
    <w:rsid w:val="390A424D"/>
    <w:rsid w:val="391B05DB"/>
    <w:rsid w:val="393A4E57"/>
    <w:rsid w:val="39423DBA"/>
    <w:rsid w:val="39475874"/>
    <w:rsid w:val="395744BD"/>
    <w:rsid w:val="396E4BAF"/>
    <w:rsid w:val="397C544B"/>
    <w:rsid w:val="398243D2"/>
    <w:rsid w:val="39BA4298"/>
    <w:rsid w:val="39C05C1B"/>
    <w:rsid w:val="39D61F15"/>
    <w:rsid w:val="39EE7A9E"/>
    <w:rsid w:val="3A1C460B"/>
    <w:rsid w:val="3A257964"/>
    <w:rsid w:val="3A396F6B"/>
    <w:rsid w:val="3A3E27D3"/>
    <w:rsid w:val="3A4678DA"/>
    <w:rsid w:val="3A703C28"/>
    <w:rsid w:val="3A706705"/>
    <w:rsid w:val="3A777A93"/>
    <w:rsid w:val="3A85106E"/>
    <w:rsid w:val="3AE96BE3"/>
    <w:rsid w:val="3AF61300"/>
    <w:rsid w:val="3B6B3A9C"/>
    <w:rsid w:val="3B762441"/>
    <w:rsid w:val="3B8E778B"/>
    <w:rsid w:val="3BAF79CF"/>
    <w:rsid w:val="3BB85130"/>
    <w:rsid w:val="3BCB62E9"/>
    <w:rsid w:val="3BF61492"/>
    <w:rsid w:val="3C000448"/>
    <w:rsid w:val="3C025A83"/>
    <w:rsid w:val="3C090BBF"/>
    <w:rsid w:val="3C17152E"/>
    <w:rsid w:val="3C1C08F2"/>
    <w:rsid w:val="3C94492D"/>
    <w:rsid w:val="3CB11983"/>
    <w:rsid w:val="3CB23005"/>
    <w:rsid w:val="3CEA023A"/>
    <w:rsid w:val="3CF75B8E"/>
    <w:rsid w:val="3D324146"/>
    <w:rsid w:val="3D5347E8"/>
    <w:rsid w:val="3D6267D9"/>
    <w:rsid w:val="3D7D7AB7"/>
    <w:rsid w:val="3DAF5796"/>
    <w:rsid w:val="3DB8289D"/>
    <w:rsid w:val="3DBC7C7D"/>
    <w:rsid w:val="3DE23DBE"/>
    <w:rsid w:val="3DF064DB"/>
    <w:rsid w:val="3E1B3646"/>
    <w:rsid w:val="3E241CE0"/>
    <w:rsid w:val="3E2B306F"/>
    <w:rsid w:val="3E38578C"/>
    <w:rsid w:val="3E442382"/>
    <w:rsid w:val="3E5E1696"/>
    <w:rsid w:val="3E854E75"/>
    <w:rsid w:val="3E8E2BFE"/>
    <w:rsid w:val="3E8E35FE"/>
    <w:rsid w:val="3E9B4698"/>
    <w:rsid w:val="3EBF7C5B"/>
    <w:rsid w:val="3ECC2EBA"/>
    <w:rsid w:val="3F141D55"/>
    <w:rsid w:val="3F1C6E5B"/>
    <w:rsid w:val="3F204B9E"/>
    <w:rsid w:val="3F381EE7"/>
    <w:rsid w:val="3F5211D7"/>
    <w:rsid w:val="3F5B7984"/>
    <w:rsid w:val="3F99370D"/>
    <w:rsid w:val="3FBD23EC"/>
    <w:rsid w:val="3FBF07FF"/>
    <w:rsid w:val="3FD20B2C"/>
    <w:rsid w:val="3FD97740"/>
    <w:rsid w:val="3FE93C94"/>
    <w:rsid w:val="3FE94F8F"/>
    <w:rsid w:val="3FEC4A80"/>
    <w:rsid w:val="3FEE4DB8"/>
    <w:rsid w:val="4033445D"/>
    <w:rsid w:val="40703903"/>
    <w:rsid w:val="408307AC"/>
    <w:rsid w:val="40A92971"/>
    <w:rsid w:val="40B3559D"/>
    <w:rsid w:val="410A1661"/>
    <w:rsid w:val="41320BB8"/>
    <w:rsid w:val="41452699"/>
    <w:rsid w:val="416B7C26"/>
    <w:rsid w:val="417108A0"/>
    <w:rsid w:val="418A64A3"/>
    <w:rsid w:val="41936AC3"/>
    <w:rsid w:val="41962EF5"/>
    <w:rsid w:val="419E1DAA"/>
    <w:rsid w:val="41A829C6"/>
    <w:rsid w:val="41CB567F"/>
    <w:rsid w:val="41CF4659"/>
    <w:rsid w:val="41D13F2D"/>
    <w:rsid w:val="41D57EC1"/>
    <w:rsid w:val="41DB1250"/>
    <w:rsid w:val="41FD3E50"/>
    <w:rsid w:val="420A5691"/>
    <w:rsid w:val="42220C2D"/>
    <w:rsid w:val="42366486"/>
    <w:rsid w:val="4246491B"/>
    <w:rsid w:val="425132C0"/>
    <w:rsid w:val="426D634C"/>
    <w:rsid w:val="42921365"/>
    <w:rsid w:val="42A31D6D"/>
    <w:rsid w:val="42BE6BA7"/>
    <w:rsid w:val="42BF022A"/>
    <w:rsid w:val="42E61C5A"/>
    <w:rsid w:val="43087E22"/>
    <w:rsid w:val="43160791"/>
    <w:rsid w:val="432C4FAE"/>
    <w:rsid w:val="433E584E"/>
    <w:rsid w:val="435412BA"/>
    <w:rsid w:val="43574906"/>
    <w:rsid w:val="435766B4"/>
    <w:rsid w:val="43670FED"/>
    <w:rsid w:val="4374321C"/>
    <w:rsid w:val="43776D56"/>
    <w:rsid w:val="43875B4A"/>
    <w:rsid w:val="438C0A54"/>
    <w:rsid w:val="438F22F2"/>
    <w:rsid w:val="438F5E4E"/>
    <w:rsid w:val="43A318F9"/>
    <w:rsid w:val="43AA712C"/>
    <w:rsid w:val="43D23F8D"/>
    <w:rsid w:val="43D97C3A"/>
    <w:rsid w:val="43DF5027"/>
    <w:rsid w:val="43DF5653"/>
    <w:rsid w:val="43ED3070"/>
    <w:rsid w:val="43F6077C"/>
    <w:rsid w:val="44004F9E"/>
    <w:rsid w:val="440B3B62"/>
    <w:rsid w:val="44114AB5"/>
    <w:rsid w:val="443469F5"/>
    <w:rsid w:val="44A14066"/>
    <w:rsid w:val="44D22496"/>
    <w:rsid w:val="44DA134B"/>
    <w:rsid w:val="4521341D"/>
    <w:rsid w:val="45352A25"/>
    <w:rsid w:val="455530C7"/>
    <w:rsid w:val="456204C4"/>
    <w:rsid w:val="45806396"/>
    <w:rsid w:val="45A81449"/>
    <w:rsid w:val="45AD4CB1"/>
    <w:rsid w:val="45BB5620"/>
    <w:rsid w:val="45FF712A"/>
    <w:rsid w:val="463D6035"/>
    <w:rsid w:val="4642364B"/>
    <w:rsid w:val="464B69A4"/>
    <w:rsid w:val="46543991"/>
    <w:rsid w:val="469043B7"/>
    <w:rsid w:val="46971BE9"/>
    <w:rsid w:val="46FD57C4"/>
    <w:rsid w:val="47091BE0"/>
    <w:rsid w:val="472471F5"/>
    <w:rsid w:val="473016F6"/>
    <w:rsid w:val="47460F19"/>
    <w:rsid w:val="475A49C5"/>
    <w:rsid w:val="475A6773"/>
    <w:rsid w:val="48083ADD"/>
    <w:rsid w:val="482322AD"/>
    <w:rsid w:val="48657AC5"/>
    <w:rsid w:val="489839F7"/>
    <w:rsid w:val="48A24875"/>
    <w:rsid w:val="48D43A0A"/>
    <w:rsid w:val="48D6699E"/>
    <w:rsid w:val="48E7672C"/>
    <w:rsid w:val="48F13107"/>
    <w:rsid w:val="490908C5"/>
    <w:rsid w:val="4958156F"/>
    <w:rsid w:val="497E2BEC"/>
    <w:rsid w:val="49921E2A"/>
    <w:rsid w:val="49C1060A"/>
    <w:rsid w:val="49CA215F"/>
    <w:rsid w:val="49E31676"/>
    <w:rsid w:val="49E365F3"/>
    <w:rsid w:val="49FD6207"/>
    <w:rsid w:val="4A203CA4"/>
    <w:rsid w:val="4A2117CA"/>
    <w:rsid w:val="4A3D4856"/>
    <w:rsid w:val="4A8113B6"/>
    <w:rsid w:val="4A842484"/>
    <w:rsid w:val="4A934476"/>
    <w:rsid w:val="4AC26B09"/>
    <w:rsid w:val="4AE271AB"/>
    <w:rsid w:val="4B1730BE"/>
    <w:rsid w:val="4B26353C"/>
    <w:rsid w:val="4B296B88"/>
    <w:rsid w:val="4B35552D"/>
    <w:rsid w:val="4B6B0F4E"/>
    <w:rsid w:val="4B975490"/>
    <w:rsid w:val="4BD55CC5"/>
    <w:rsid w:val="4BD74669"/>
    <w:rsid w:val="4BF35BAB"/>
    <w:rsid w:val="4C267368"/>
    <w:rsid w:val="4C52210E"/>
    <w:rsid w:val="4C8C5620"/>
    <w:rsid w:val="4C8C73CE"/>
    <w:rsid w:val="4CA50490"/>
    <w:rsid w:val="4CAA3CF8"/>
    <w:rsid w:val="4CC56D84"/>
    <w:rsid w:val="4CCB656B"/>
    <w:rsid w:val="4CCD336D"/>
    <w:rsid w:val="4CDE39A2"/>
    <w:rsid w:val="4D0168EF"/>
    <w:rsid w:val="4D07114B"/>
    <w:rsid w:val="4D1F46E6"/>
    <w:rsid w:val="4D5D0D6B"/>
    <w:rsid w:val="4D681722"/>
    <w:rsid w:val="4D7560B4"/>
    <w:rsid w:val="4D7E009C"/>
    <w:rsid w:val="4D7F6F33"/>
    <w:rsid w:val="4D804F96"/>
    <w:rsid w:val="4DA8648A"/>
    <w:rsid w:val="4DB56DF9"/>
    <w:rsid w:val="4E0839BF"/>
    <w:rsid w:val="4E127DA7"/>
    <w:rsid w:val="4E197388"/>
    <w:rsid w:val="4E41243B"/>
    <w:rsid w:val="4E434405"/>
    <w:rsid w:val="4E4F4B57"/>
    <w:rsid w:val="4E557601"/>
    <w:rsid w:val="4E7A19B8"/>
    <w:rsid w:val="4E8F13F8"/>
    <w:rsid w:val="4E916F1E"/>
    <w:rsid w:val="4EB44A1C"/>
    <w:rsid w:val="4EC217CD"/>
    <w:rsid w:val="4EDB463D"/>
    <w:rsid w:val="4EF65579"/>
    <w:rsid w:val="4F2C6C47"/>
    <w:rsid w:val="4F365D17"/>
    <w:rsid w:val="4FA40ED3"/>
    <w:rsid w:val="4FB31116"/>
    <w:rsid w:val="4FCB46B2"/>
    <w:rsid w:val="4FD44A54"/>
    <w:rsid w:val="50011E81"/>
    <w:rsid w:val="500842E2"/>
    <w:rsid w:val="50162086"/>
    <w:rsid w:val="50167979"/>
    <w:rsid w:val="507765E7"/>
    <w:rsid w:val="50903B0E"/>
    <w:rsid w:val="50F465B6"/>
    <w:rsid w:val="51536EE0"/>
    <w:rsid w:val="51624765"/>
    <w:rsid w:val="518A5EA7"/>
    <w:rsid w:val="518E1E3B"/>
    <w:rsid w:val="519663BC"/>
    <w:rsid w:val="51A056F2"/>
    <w:rsid w:val="51A96C75"/>
    <w:rsid w:val="51AE7DE7"/>
    <w:rsid w:val="51C05ECE"/>
    <w:rsid w:val="51C70EA9"/>
    <w:rsid w:val="51D535C6"/>
    <w:rsid w:val="51E56D41"/>
    <w:rsid w:val="51EE3840"/>
    <w:rsid w:val="52210174"/>
    <w:rsid w:val="522444AD"/>
    <w:rsid w:val="52652A9F"/>
    <w:rsid w:val="526C1A43"/>
    <w:rsid w:val="52707792"/>
    <w:rsid w:val="527C4B7E"/>
    <w:rsid w:val="529A65BD"/>
    <w:rsid w:val="52A42F98"/>
    <w:rsid w:val="52B16352"/>
    <w:rsid w:val="52E02222"/>
    <w:rsid w:val="52FE641A"/>
    <w:rsid w:val="53114AD1"/>
    <w:rsid w:val="533575BC"/>
    <w:rsid w:val="5381347D"/>
    <w:rsid w:val="5391176E"/>
    <w:rsid w:val="53A70F92"/>
    <w:rsid w:val="53C102A5"/>
    <w:rsid w:val="53DB6E8D"/>
    <w:rsid w:val="5405326E"/>
    <w:rsid w:val="54403DE2"/>
    <w:rsid w:val="544762D1"/>
    <w:rsid w:val="54547978"/>
    <w:rsid w:val="54752E3E"/>
    <w:rsid w:val="54843081"/>
    <w:rsid w:val="549459BA"/>
    <w:rsid w:val="5495703C"/>
    <w:rsid w:val="54C45476"/>
    <w:rsid w:val="54C87412"/>
    <w:rsid w:val="54D264E2"/>
    <w:rsid w:val="54DB2963"/>
    <w:rsid w:val="54EB4EAE"/>
    <w:rsid w:val="550C2A76"/>
    <w:rsid w:val="550E1E22"/>
    <w:rsid w:val="55125F07"/>
    <w:rsid w:val="551636DF"/>
    <w:rsid w:val="554A7E27"/>
    <w:rsid w:val="555935C2"/>
    <w:rsid w:val="555A514E"/>
    <w:rsid w:val="55C23E61"/>
    <w:rsid w:val="55E16B3B"/>
    <w:rsid w:val="55F10AC4"/>
    <w:rsid w:val="56350AD7"/>
    <w:rsid w:val="56576C9F"/>
    <w:rsid w:val="567C4300"/>
    <w:rsid w:val="56902438"/>
    <w:rsid w:val="56D7393C"/>
    <w:rsid w:val="56E61DD1"/>
    <w:rsid w:val="571024BE"/>
    <w:rsid w:val="57106E4E"/>
    <w:rsid w:val="57402630"/>
    <w:rsid w:val="57560D05"/>
    <w:rsid w:val="576D42A0"/>
    <w:rsid w:val="57723718"/>
    <w:rsid w:val="57806C08"/>
    <w:rsid w:val="57A44166"/>
    <w:rsid w:val="57D1482F"/>
    <w:rsid w:val="57F95B34"/>
    <w:rsid w:val="57FA3D86"/>
    <w:rsid w:val="57FB7AFE"/>
    <w:rsid w:val="57FE544A"/>
    <w:rsid w:val="581C1975"/>
    <w:rsid w:val="5822508B"/>
    <w:rsid w:val="586C27AA"/>
    <w:rsid w:val="58721A69"/>
    <w:rsid w:val="588875E4"/>
    <w:rsid w:val="5889335C"/>
    <w:rsid w:val="58C6769E"/>
    <w:rsid w:val="59372DB8"/>
    <w:rsid w:val="59404954"/>
    <w:rsid w:val="596D67DA"/>
    <w:rsid w:val="59710078"/>
    <w:rsid w:val="59831B59"/>
    <w:rsid w:val="59837DAB"/>
    <w:rsid w:val="59D93E6F"/>
    <w:rsid w:val="5A47527D"/>
    <w:rsid w:val="5A6279C1"/>
    <w:rsid w:val="5A675B6B"/>
    <w:rsid w:val="5A76346C"/>
    <w:rsid w:val="5AB67AE8"/>
    <w:rsid w:val="5AC02939"/>
    <w:rsid w:val="5AC55827"/>
    <w:rsid w:val="5AF80325"/>
    <w:rsid w:val="5B0B62AA"/>
    <w:rsid w:val="5B1F0AB4"/>
    <w:rsid w:val="5B215ACE"/>
    <w:rsid w:val="5B2D6220"/>
    <w:rsid w:val="5B3E406D"/>
    <w:rsid w:val="5B442D6E"/>
    <w:rsid w:val="5B4B66A7"/>
    <w:rsid w:val="5B525C87"/>
    <w:rsid w:val="5B6360E6"/>
    <w:rsid w:val="5B7F0108"/>
    <w:rsid w:val="5B946D19"/>
    <w:rsid w:val="5BA109BC"/>
    <w:rsid w:val="5BA34F73"/>
    <w:rsid w:val="5BB94465"/>
    <w:rsid w:val="5BC43B2B"/>
    <w:rsid w:val="5BD448EE"/>
    <w:rsid w:val="5BEF797A"/>
    <w:rsid w:val="5C011134"/>
    <w:rsid w:val="5C4A2E02"/>
    <w:rsid w:val="5C5C67CB"/>
    <w:rsid w:val="5C6C1BB0"/>
    <w:rsid w:val="5C6E6AF1"/>
    <w:rsid w:val="5C853E3A"/>
    <w:rsid w:val="5C992492"/>
    <w:rsid w:val="5CB85FBE"/>
    <w:rsid w:val="5CDD3C76"/>
    <w:rsid w:val="5CF3349A"/>
    <w:rsid w:val="5CFA4C4B"/>
    <w:rsid w:val="5D0F4E8E"/>
    <w:rsid w:val="5D1F428F"/>
    <w:rsid w:val="5D261FBF"/>
    <w:rsid w:val="5D3C274B"/>
    <w:rsid w:val="5D3E4071"/>
    <w:rsid w:val="5D3F048D"/>
    <w:rsid w:val="5D4D6706"/>
    <w:rsid w:val="5D514E6F"/>
    <w:rsid w:val="5D5C2DED"/>
    <w:rsid w:val="5D6E6810"/>
    <w:rsid w:val="5D826ED7"/>
    <w:rsid w:val="5D8979D6"/>
    <w:rsid w:val="5D9260D6"/>
    <w:rsid w:val="5DB02629"/>
    <w:rsid w:val="5DF72B16"/>
    <w:rsid w:val="5E2B3B29"/>
    <w:rsid w:val="5E2D4789"/>
    <w:rsid w:val="5E4B4D32"/>
    <w:rsid w:val="5E5D6E1D"/>
    <w:rsid w:val="5E631F59"/>
    <w:rsid w:val="5EB3342F"/>
    <w:rsid w:val="5EE75F74"/>
    <w:rsid w:val="5EFF7ED4"/>
    <w:rsid w:val="5F3F29C6"/>
    <w:rsid w:val="5F5012FA"/>
    <w:rsid w:val="5F51540E"/>
    <w:rsid w:val="5F816B3B"/>
    <w:rsid w:val="5FC73F84"/>
    <w:rsid w:val="5FD916A6"/>
    <w:rsid w:val="6008725C"/>
    <w:rsid w:val="600A2FD4"/>
    <w:rsid w:val="60343D42"/>
    <w:rsid w:val="60377D1B"/>
    <w:rsid w:val="6051650D"/>
    <w:rsid w:val="606C3347"/>
    <w:rsid w:val="60714E01"/>
    <w:rsid w:val="60C211B9"/>
    <w:rsid w:val="610B1246"/>
    <w:rsid w:val="61244C90"/>
    <w:rsid w:val="6132067F"/>
    <w:rsid w:val="6151078F"/>
    <w:rsid w:val="61525C94"/>
    <w:rsid w:val="616D55C9"/>
    <w:rsid w:val="617701F5"/>
    <w:rsid w:val="61BA27AF"/>
    <w:rsid w:val="61D75138"/>
    <w:rsid w:val="620B6B90"/>
    <w:rsid w:val="62262318"/>
    <w:rsid w:val="624125B1"/>
    <w:rsid w:val="62830E1C"/>
    <w:rsid w:val="62880380"/>
    <w:rsid w:val="62C236F2"/>
    <w:rsid w:val="62EC076F"/>
    <w:rsid w:val="62F12229"/>
    <w:rsid w:val="633C4BB3"/>
    <w:rsid w:val="634C2B4E"/>
    <w:rsid w:val="635C3B47"/>
    <w:rsid w:val="63862972"/>
    <w:rsid w:val="63A765F8"/>
    <w:rsid w:val="63B4752E"/>
    <w:rsid w:val="63D761CE"/>
    <w:rsid w:val="6416019A"/>
    <w:rsid w:val="64202DC6"/>
    <w:rsid w:val="64803865"/>
    <w:rsid w:val="648C220A"/>
    <w:rsid w:val="64A31301"/>
    <w:rsid w:val="64D2701D"/>
    <w:rsid w:val="64F34BE1"/>
    <w:rsid w:val="657A02B4"/>
    <w:rsid w:val="659B022A"/>
    <w:rsid w:val="65A25A5D"/>
    <w:rsid w:val="65B3280B"/>
    <w:rsid w:val="65D22CB3"/>
    <w:rsid w:val="65F938CF"/>
    <w:rsid w:val="660B1854"/>
    <w:rsid w:val="66320836"/>
    <w:rsid w:val="6632293D"/>
    <w:rsid w:val="66423CCD"/>
    <w:rsid w:val="66967370"/>
    <w:rsid w:val="66C64EC5"/>
    <w:rsid w:val="66E20C04"/>
    <w:rsid w:val="66FB3677"/>
    <w:rsid w:val="671169F6"/>
    <w:rsid w:val="67207282"/>
    <w:rsid w:val="673B7F17"/>
    <w:rsid w:val="67656D42"/>
    <w:rsid w:val="676A25AA"/>
    <w:rsid w:val="678371C8"/>
    <w:rsid w:val="679F4002"/>
    <w:rsid w:val="67AC458E"/>
    <w:rsid w:val="67BC289E"/>
    <w:rsid w:val="67C40DEF"/>
    <w:rsid w:val="67D374BE"/>
    <w:rsid w:val="67DA14DE"/>
    <w:rsid w:val="67EB5499"/>
    <w:rsid w:val="67F059C8"/>
    <w:rsid w:val="67F56318"/>
    <w:rsid w:val="68060525"/>
    <w:rsid w:val="681A18DB"/>
    <w:rsid w:val="68295FC1"/>
    <w:rsid w:val="68386205"/>
    <w:rsid w:val="68607CF7"/>
    <w:rsid w:val="6870599E"/>
    <w:rsid w:val="688F051A"/>
    <w:rsid w:val="68925915"/>
    <w:rsid w:val="689773CF"/>
    <w:rsid w:val="689C69F1"/>
    <w:rsid w:val="689F7087"/>
    <w:rsid w:val="68CD2DF1"/>
    <w:rsid w:val="68ED5241"/>
    <w:rsid w:val="694D7A8E"/>
    <w:rsid w:val="694F3806"/>
    <w:rsid w:val="69894F6A"/>
    <w:rsid w:val="699D6C67"/>
    <w:rsid w:val="69B144C0"/>
    <w:rsid w:val="6A2F7112"/>
    <w:rsid w:val="6A303637"/>
    <w:rsid w:val="6A582B8E"/>
    <w:rsid w:val="6AC10733"/>
    <w:rsid w:val="6ACB15B2"/>
    <w:rsid w:val="6AEA7C8A"/>
    <w:rsid w:val="6B0D3978"/>
    <w:rsid w:val="6B19231D"/>
    <w:rsid w:val="6B2D7B77"/>
    <w:rsid w:val="6B385388"/>
    <w:rsid w:val="6B5A0B7F"/>
    <w:rsid w:val="6B6F63E1"/>
    <w:rsid w:val="6B7548AE"/>
    <w:rsid w:val="6B8D1A5D"/>
    <w:rsid w:val="6B8E4AB9"/>
    <w:rsid w:val="6B953B3D"/>
    <w:rsid w:val="6B9B2D32"/>
    <w:rsid w:val="6BA51E03"/>
    <w:rsid w:val="6BAE621A"/>
    <w:rsid w:val="6BB95134"/>
    <w:rsid w:val="6BC0730B"/>
    <w:rsid w:val="6BD85D34"/>
    <w:rsid w:val="6C367856"/>
    <w:rsid w:val="6C67530A"/>
    <w:rsid w:val="6C7D4B2E"/>
    <w:rsid w:val="6C9A748E"/>
    <w:rsid w:val="6CB70040"/>
    <w:rsid w:val="6CBD2CAF"/>
    <w:rsid w:val="6CC36D8E"/>
    <w:rsid w:val="6CD36AC3"/>
    <w:rsid w:val="6CD429A0"/>
    <w:rsid w:val="6D225D97"/>
    <w:rsid w:val="6D277080"/>
    <w:rsid w:val="6D2A25C0"/>
    <w:rsid w:val="6D3B2A1F"/>
    <w:rsid w:val="6D433682"/>
    <w:rsid w:val="6D503E24"/>
    <w:rsid w:val="6D622AEB"/>
    <w:rsid w:val="6D8A305E"/>
    <w:rsid w:val="6D8B6DD7"/>
    <w:rsid w:val="6DA2073F"/>
    <w:rsid w:val="6DC76061"/>
    <w:rsid w:val="6DCC3677"/>
    <w:rsid w:val="6DD93FE6"/>
    <w:rsid w:val="6DE50BDD"/>
    <w:rsid w:val="6DF50ACA"/>
    <w:rsid w:val="6E22773B"/>
    <w:rsid w:val="6E2C05BA"/>
    <w:rsid w:val="6E31797E"/>
    <w:rsid w:val="6E421B8B"/>
    <w:rsid w:val="6E753D0F"/>
    <w:rsid w:val="6EA168B2"/>
    <w:rsid w:val="6EF12E26"/>
    <w:rsid w:val="6EF939F6"/>
    <w:rsid w:val="6F0230C8"/>
    <w:rsid w:val="6F110A10"/>
    <w:rsid w:val="6F1113F0"/>
    <w:rsid w:val="6F38459B"/>
    <w:rsid w:val="6F457B85"/>
    <w:rsid w:val="6F5002D8"/>
    <w:rsid w:val="6F530F2F"/>
    <w:rsid w:val="6F710981"/>
    <w:rsid w:val="6F877593"/>
    <w:rsid w:val="6FC00FB9"/>
    <w:rsid w:val="6FCC0900"/>
    <w:rsid w:val="6FDA3886"/>
    <w:rsid w:val="6FDE2037"/>
    <w:rsid w:val="6FE70C3C"/>
    <w:rsid w:val="6FEC1DAE"/>
    <w:rsid w:val="6FF142A0"/>
    <w:rsid w:val="7007308C"/>
    <w:rsid w:val="70367AE5"/>
    <w:rsid w:val="706A1742"/>
    <w:rsid w:val="70802DBA"/>
    <w:rsid w:val="708D3108"/>
    <w:rsid w:val="70AE2FF1"/>
    <w:rsid w:val="70B3270F"/>
    <w:rsid w:val="70D475D2"/>
    <w:rsid w:val="70DC0075"/>
    <w:rsid w:val="714F21F0"/>
    <w:rsid w:val="71502811"/>
    <w:rsid w:val="7156162D"/>
    <w:rsid w:val="716F2C97"/>
    <w:rsid w:val="719A3A8C"/>
    <w:rsid w:val="71A52B5D"/>
    <w:rsid w:val="71BA0296"/>
    <w:rsid w:val="71BB647E"/>
    <w:rsid w:val="71D40DB8"/>
    <w:rsid w:val="71E1751D"/>
    <w:rsid w:val="72192C03"/>
    <w:rsid w:val="723B701D"/>
    <w:rsid w:val="725327A6"/>
    <w:rsid w:val="725E2D0C"/>
    <w:rsid w:val="72844F5F"/>
    <w:rsid w:val="72B172DF"/>
    <w:rsid w:val="72C24452"/>
    <w:rsid w:val="73010636"/>
    <w:rsid w:val="732301DD"/>
    <w:rsid w:val="73312BAE"/>
    <w:rsid w:val="733F0D8F"/>
    <w:rsid w:val="733F48EB"/>
    <w:rsid w:val="737443BB"/>
    <w:rsid w:val="73C3345B"/>
    <w:rsid w:val="73C3376E"/>
    <w:rsid w:val="73CF3EC1"/>
    <w:rsid w:val="73EB6821"/>
    <w:rsid w:val="74016013"/>
    <w:rsid w:val="741144D9"/>
    <w:rsid w:val="74123DAE"/>
    <w:rsid w:val="74341F76"/>
    <w:rsid w:val="743D3201"/>
    <w:rsid w:val="74503606"/>
    <w:rsid w:val="74544188"/>
    <w:rsid w:val="745A5E80"/>
    <w:rsid w:val="745D14CD"/>
    <w:rsid w:val="74703B80"/>
    <w:rsid w:val="748527D2"/>
    <w:rsid w:val="74936C9D"/>
    <w:rsid w:val="74AE1D28"/>
    <w:rsid w:val="74D00DC8"/>
    <w:rsid w:val="74D177C5"/>
    <w:rsid w:val="75377F70"/>
    <w:rsid w:val="758030BA"/>
    <w:rsid w:val="758D5DE2"/>
    <w:rsid w:val="75B12711"/>
    <w:rsid w:val="75EA5667"/>
    <w:rsid w:val="760614C5"/>
    <w:rsid w:val="76232458"/>
    <w:rsid w:val="76261D92"/>
    <w:rsid w:val="76286848"/>
    <w:rsid w:val="766C1E9B"/>
    <w:rsid w:val="766F54E7"/>
    <w:rsid w:val="767945B8"/>
    <w:rsid w:val="769048FD"/>
    <w:rsid w:val="76960CC6"/>
    <w:rsid w:val="76B13D52"/>
    <w:rsid w:val="76C515AB"/>
    <w:rsid w:val="76D35A76"/>
    <w:rsid w:val="77103E01"/>
    <w:rsid w:val="771B11CB"/>
    <w:rsid w:val="77613082"/>
    <w:rsid w:val="77713ED2"/>
    <w:rsid w:val="77866F8C"/>
    <w:rsid w:val="77A45665"/>
    <w:rsid w:val="77BA756D"/>
    <w:rsid w:val="77F50D46"/>
    <w:rsid w:val="77F57C6E"/>
    <w:rsid w:val="784F55D0"/>
    <w:rsid w:val="7863107C"/>
    <w:rsid w:val="788829E3"/>
    <w:rsid w:val="78A70F68"/>
    <w:rsid w:val="78BD078C"/>
    <w:rsid w:val="79050385"/>
    <w:rsid w:val="79053EE1"/>
    <w:rsid w:val="794744F9"/>
    <w:rsid w:val="794A561D"/>
    <w:rsid w:val="794E3ADA"/>
    <w:rsid w:val="79607369"/>
    <w:rsid w:val="79952518"/>
    <w:rsid w:val="799534B7"/>
    <w:rsid w:val="79D216C3"/>
    <w:rsid w:val="79DA711C"/>
    <w:rsid w:val="79F857F4"/>
    <w:rsid w:val="7A1268B5"/>
    <w:rsid w:val="7A13262E"/>
    <w:rsid w:val="7A17211E"/>
    <w:rsid w:val="7A342CD0"/>
    <w:rsid w:val="7A4078C7"/>
    <w:rsid w:val="7A4F7B0A"/>
    <w:rsid w:val="7A505630"/>
    <w:rsid w:val="7A7C01D3"/>
    <w:rsid w:val="7A84390D"/>
    <w:rsid w:val="7A9814B1"/>
    <w:rsid w:val="7ACF47A6"/>
    <w:rsid w:val="7AFE6E3A"/>
    <w:rsid w:val="7B0C1557"/>
    <w:rsid w:val="7B536393"/>
    <w:rsid w:val="7B6C6499"/>
    <w:rsid w:val="7B7A0BB6"/>
    <w:rsid w:val="7BC462D5"/>
    <w:rsid w:val="7C3B26D9"/>
    <w:rsid w:val="7C484810"/>
    <w:rsid w:val="7C5036C5"/>
    <w:rsid w:val="7C727ADF"/>
    <w:rsid w:val="7C865339"/>
    <w:rsid w:val="7CA86B3C"/>
    <w:rsid w:val="7CB1685A"/>
    <w:rsid w:val="7CC115E3"/>
    <w:rsid w:val="7CCF6CE0"/>
    <w:rsid w:val="7CE87DA1"/>
    <w:rsid w:val="7D060228"/>
    <w:rsid w:val="7D711B45"/>
    <w:rsid w:val="7D766CDB"/>
    <w:rsid w:val="7D8A0E59"/>
    <w:rsid w:val="7D9F5955"/>
    <w:rsid w:val="7DA63EE4"/>
    <w:rsid w:val="7DC41B68"/>
    <w:rsid w:val="7DCC1D31"/>
    <w:rsid w:val="7DDB3462"/>
    <w:rsid w:val="7DFC3B04"/>
    <w:rsid w:val="7E357016"/>
    <w:rsid w:val="7E3C2153"/>
    <w:rsid w:val="7E473C89"/>
    <w:rsid w:val="7E517AD5"/>
    <w:rsid w:val="7E8B4E88"/>
    <w:rsid w:val="7EA22493"/>
    <w:rsid w:val="7EB147C6"/>
    <w:rsid w:val="7EB75C7D"/>
    <w:rsid w:val="7EBF4B32"/>
    <w:rsid w:val="7EC565EC"/>
    <w:rsid w:val="7ECF1219"/>
    <w:rsid w:val="7EE828EB"/>
    <w:rsid w:val="7F390D88"/>
    <w:rsid w:val="7F864148"/>
    <w:rsid w:val="7FEE1B73"/>
    <w:rsid w:val="7FEE3921"/>
    <w:rsid w:val="7FFE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10868</Words>
  <Characters>13433</Characters>
  <Lines>0</Lines>
  <Paragraphs>0</Paragraphs>
  <TotalTime>2</TotalTime>
  <ScaleCrop>false</ScaleCrop>
  <LinksUpToDate>false</LinksUpToDate>
  <CharactersWithSpaces>14211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2024-05-25T02:52:33Z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FC8BF038BC9546A3A7506A180FCA0536_13</vt:lpwstr>
  </property>
</Properties>
</file>