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6432" behindDoc="0" locked="0" layoutInCell="1" allowOverlap="1">
            <wp:simplePos x="0" y="0"/>
            <wp:positionH relativeFrom="column">
              <wp:posOffset>9525</wp:posOffset>
            </wp:positionH>
            <wp:positionV relativeFrom="paragraph">
              <wp:posOffset>-160020</wp:posOffset>
            </wp:positionV>
            <wp:extent cx="431800" cy="431800"/>
            <wp:effectExtent l="0" t="0" r="6350" b="6350"/>
            <wp:wrapSquare wrapText="bothSides"/>
            <wp:docPr id="8" name="图片 8" descr="JCYW202406191361"/>
            <wp:cNvGraphicFramePr/>
            <a:graphic xmlns:a="http://schemas.openxmlformats.org/drawingml/2006/main">
              <a:graphicData uri="http://schemas.openxmlformats.org/drawingml/2006/picture">
                <pic:pic xmlns:pic="http://schemas.openxmlformats.org/drawingml/2006/picture">
                  <pic:nvPicPr>
                    <pic:cNvPr id="8" name="图片 8" descr="JCYW202406191361"/>
                    <pic:cNvPicPr/>
                  </pic:nvPicPr>
                  <pic:blipFill>
                    <a:blip r:embed="rId15"/>
                    <a:stretch>
                      <a:fillRect/>
                    </a:stretch>
                  </pic:blipFill>
                  <pic:spPr>
                    <a:xfrm>
                      <a:off x="0" y="0"/>
                      <a:ext cx="431800" cy="43180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pPr>
        <w:pStyle w:val="15"/>
        <w:jc w:val="both"/>
        <w:rPr>
          <w:rFonts w:hint="eastAsia" w:asciiTheme="minorEastAsia" w:hAnsiTheme="minorEastAsia" w:eastAsiaTheme="minorEastAsia" w:cstheme="minorEastAsia"/>
          <w:bCs/>
        </w:rPr>
      </w:pPr>
    </w:p>
    <w:p>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pPr>
        <w:pStyle w:val="15"/>
        <w:jc w:val="center"/>
        <w:rPr>
          <w:rFonts w:hint="eastAsia" w:asciiTheme="minorEastAsia" w:hAnsiTheme="minorEastAsia" w:eastAsiaTheme="minorEastAsia" w:cstheme="minorEastAsia"/>
          <w:bCs/>
          <w:lang w:eastAsia="zh-CN"/>
        </w:rPr>
      </w:pPr>
    </w:p>
    <w:p>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3772"/>
      <w:bookmarkStart w:id="1" w:name="_Toc26466"/>
      <w:r>
        <w:rPr>
          <w:rFonts w:hint="eastAsia" w:asciiTheme="minorEastAsia" w:hAnsiTheme="minorEastAsia" w:eastAsiaTheme="minorEastAsia" w:cstheme="minorEastAsia"/>
          <w:b/>
          <w:bCs w:val="0"/>
          <w:color w:val="auto"/>
          <w:w w:val="80"/>
          <w:sz w:val="72"/>
          <w:szCs w:val="72"/>
          <w:u w:val="none"/>
          <w:lang w:val="en-US" w:eastAsia="zh-CN"/>
        </w:rPr>
        <w:t xml:space="preserve">      </w:t>
      </w:r>
    </w:p>
    <w:p>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2024年第二季度挥发性有机物检测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山东华油万达化学有限公司</w:t>
      </w:r>
    </w:p>
    <w:p>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检测地点：</w:t>
      </w:r>
      <w:bookmarkEnd w:id="2"/>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山东省东营市垦利区胜坨镇政府驻地</w:t>
      </w:r>
    </w:p>
    <w:p>
      <w:pPr>
        <w:jc w:val="left"/>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2024年06月20日</w:t>
      </w:r>
    </w:p>
    <w:p>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2024年06月22日</w:t>
      </w:r>
    </w:p>
    <w:p>
      <w:pPr>
        <w:jc w:val="left"/>
        <w:rPr>
          <w:rFonts w:hint="eastAsia" w:asciiTheme="minorEastAsia" w:hAnsiTheme="minorEastAsia" w:eastAsiaTheme="minorEastAsia" w:cstheme="minorEastAsia"/>
          <w:szCs w:val="21"/>
        </w:rPr>
      </w:pPr>
    </w:p>
    <w:p>
      <w:pPr>
        <w:pStyle w:val="2"/>
        <w:rPr>
          <w:rFonts w:hint="eastAsia"/>
        </w:rPr>
      </w:pPr>
    </w:p>
    <w:p>
      <w:pPr>
        <w:pStyle w:val="14"/>
        <w:bidi w:val="0"/>
        <w:rPr>
          <w:rFonts w:hint="eastAsia"/>
          <w:lang w:eastAsia="zh-CN"/>
        </w:rPr>
      </w:pPr>
      <w:bookmarkStart w:id="3" w:name="_Toc14839"/>
      <w:bookmarkStart w:id="4" w:name="_Toc13238"/>
      <w:bookmarkStart w:id="5" w:name="_Toc31107"/>
      <w:bookmarkStart w:id="6" w:name="_Toc12368"/>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pPr>
        <w:pStyle w:val="15"/>
        <w:spacing w:line="360" w:lineRule="auto"/>
        <w:jc w:val="left"/>
        <w:rPr>
          <w:rFonts w:hint="eastAsia" w:asciiTheme="minorEastAsia" w:hAnsiTheme="minorEastAsia" w:eastAsiaTheme="minorEastAsia" w:cstheme="minorEastAsia"/>
          <w:b/>
          <w:bCs/>
          <w:color w:val="000000"/>
          <w:sz w:val="28"/>
          <w:szCs w:val="28"/>
        </w:rPr>
      </w:pPr>
    </w:p>
    <w:p>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sz w:val="24"/>
              <w:szCs w:val="24"/>
            </w:rPr>
            <w:t>目录</w:t>
          </w:r>
        </w:p>
        <w:p>
          <w:pPr>
            <w:pStyle w:val="9"/>
            <w:tabs>
              <w:tab w:val="right" w:leader="dot" w:pos="9638"/>
            </w:tabs>
            <w:rPr>
              <w:rFonts w:hint="eastAsia" w:ascii="宋体" w:hAnsi="宋体" w:eastAsia="宋体" w:cs="宋体"/>
            </w:rPr>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_Toc28144 </w:instrText>
          </w:r>
          <w:r>
            <w:rPr>
              <w:rFonts w:hint="eastAsia" w:ascii="宋体" w:hAnsi="宋体" w:eastAsia="宋体" w:cs="宋体"/>
              <w:szCs w:val="28"/>
              <w:lang w:val="en-US" w:eastAsia="zh-CN"/>
            </w:rPr>
            <w:fldChar w:fldCharType="separate"/>
          </w:r>
          <w:r>
            <w:rPr>
              <w:rFonts w:hint="eastAsia" w:ascii="宋体" w:hAnsi="宋体" w:eastAsia="宋体" w:cs="宋体"/>
              <w:szCs w:val="32"/>
            </w:rPr>
            <w:t>说             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_Toc28144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_Toc24711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资质证书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_Toc24711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_Toc32736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1. 挥发性有机物（VOC</w:t>
          </w:r>
          <w:r>
            <w:rPr>
              <w:rFonts w:hint="eastAsia" w:ascii="宋体" w:hAnsi="宋体" w:eastAsia="宋体" w:cs="宋体"/>
              <w:szCs w:val="24"/>
              <w:lang w:val="en-US" w:eastAsia="zh-CN"/>
            </w:rPr>
            <w:t>s</w:t>
          </w:r>
          <w:r>
            <w:rPr>
              <w:rFonts w:hint="eastAsia" w:ascii="宋体" w:hAnsi="宋体" w:eastAsia="宋体" w:cs="宋体"/>
              <w:lang w:val="en-US" w:eastAsia="zh-CN"/>
            </w:rPr>
            <w:t>）检测结果报告单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_Toc32736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_Toc24810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2. 挥发性有机物（VOC</w:t>
          </w:r>
          <w:r>
            <w:rPr>
              <w:rFonts w:hint="eastAsia" w:ascii="宋体" w:hAnsi="宋体" w:eastAsia="宋体" w:cs="宋体"/>
              <w:szCs w:val="21"/>
            </w:rPr>
            <w:t>s</w:t>
          </w:r>
          <w:r>
            <w:rPr>
              <w:rFonts w:hint="eastAsia" w:ascii="宋体" w:hAnsi="宋体" w:eastAsia="宋体" w:cs="宋体"/>
              <w:lang w:val="en-US" w:eastAsia="zh-CN"/>
            </w:rPr>
            <w:t>）检测报告表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_Toc24810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_Toc21310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3. 建档密封点与检测密封点情况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_Toc21310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_Toc991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4. 装置密封点类型统计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_Toc991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_Toc17239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5. 检测现场条件记录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_Toc17239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_Toc6221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6. 仪器校准记录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_Toc6221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_Toc2302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7. 检测记录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_Toc2302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_Toc11040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8. 仪器及标准物质认定证书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_Toc11040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_Toc19836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 xml:space="preserve">9. </w:t>
          </w:r>
          <w:r>
            <w:rPr>
              <w:rFonts w:hint="eastAsia" w:ascii="宋体" w:hAnsi="宋体" w:eastAsia="宋体" w:cs="宋体"/>
              <w:szCs w:val="28"/>
              <w:lang w:val="en-US" w:eastAsia="zh-CN"/>
            </w:rPr>
            <w:t>现场检测照片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_Toc19836 \h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_Toc4993 </w:instrText>
          </w:r>
          <w:r>
            <w:rPr>
              <w:rFonts w:hint="eastAsia" w:ascii="宋体" w:hAnsi="宋体" w:eastAsia="宋体" w:cs="宋体"/>
              <w:szCs w:val="28"/>
              <w:lang w:val="en-US" w:eastAsia="zh-CN"/>
            </w:rPr>
            <w:fldChar w:fldCharType="separate"/>
          </w:r>
          <w:r>
            <w:rPr>
              <w:rFonts w:hint="eastAsia" w:ascii="宋体" w:hAnsi="宋体" w:eastAsia="宋体" w:cs="宋体"/>
              <w:szCs w:val="28"/>
              <w:lang w:val="en-US" w:eastAsia="zh-CN"/>
            </w:rPr>
            <w:t>10.质量保证和质量控制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_Toc4993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pPr>
        <w:ind w:firstLine="3534" w:firstLineChars="1100"/>
        <w:jc w:val="both"/>
        <w:rPr>
          <w:rFonts w:hint="eastAsia" w:asciiTheme="minorEastAsia" w:hAnsiTheme="minorEastAsia" w:eastAsiaTheme="minorEastAsia" w:cstheme="minorEastAsia"/>
          <w:b/>
          <w:sz w:val="32"/>
          <w:szCs w:val="32"/>
        </w:rPr>
      </w:pPr>
    </w:p>
    <w:p>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28144"/>
      <w:r>
        <w:rPr>
          <w:rFonts w:hint="eastAsia" w:asciiTheme="minorEastAsia" w:hAnsiTheme="minorEastAsia" w:eastAsiaTheme="minorEastAsia" w:cstheme="minorEastAsia"/>
          <w:b/>
          <w:sz w:val="32"/>
          <w:szCs w:val="32"/>
        </w:rPr>
        <w:t>说             明</w:t>
      </w:r>
      <w:bookmarkEnd w:id="7"/>
      <w:bookmarkEnd w:id="8"/>
    </w:p>
    <w:p>
      <w:pPr>
        <w:spacing w:line="480" w:lineRule="auto"/>
        <w:ind w:left="482"/>
        <w:rPr>
          <w:rFonts w:hint="eastAsia" w:asciiTheme="minorEastAsia" w:hAnsiTheme="minorEastAsia" w:eastAsiaTheme="minorEastAsia" w:cstheme="minorEastAsia"/>
          <w:sz w:val="21"/>
          <w:szCs w:val="21"/>
        </w:rPr>
      </w:pPr>
    </w:p>
    <w:p>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pPr>
        <w:ind w:left="480"/>
        <w:rPr>
          <w:rFonts w:hint="eastAsia" w:asciiTheme="minorEastAsia" w:hAnsiTheme="minorEastAsia" w:eastAsiaTheme="minorEastAsia" w:cstheme="minorEastAsia"/>
          <w:sz w:val="21"/>
          <w:szCs w:val="21"/>
        </w:rPr>
      </w:pPr>
    </w:p>
    <w:p>
      <w:pPr>
        <w:spacing w:line="480" w:lineRule="auto"/>
        <w:rPr>
          <w:rFonts w:hint="eastAsia" w:asciiTheme="minorEastAsia" w:hAnsiTheme="minorEastAsia" w:eastAsiaTheme="minorEastAsia" w:cstheme="minorEastAsia"/>
          <w:sz w:val="21"/>
          <w:szCs w:val="21"/>
        </w:rPr>
      </w:pPr>
    </w:p>
    <w:p>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inorEastAsia" w:hAnsiTheme="minorEastAsia" w:eastAsiaTheme="minorEastAsia" w:cstheme="minorEastAsia"/>
          <w:sz w:val="21"/>
          <w:szCs w:val="21"/>
          <w:lang w:val="en-US" w:eastAsia="zh-CN"/>
        </w:rPr>
        <w:t>山东省东营市开发区运河路661号世誉建材广场1幢434号</w:t>
      </w:r>
    </w:p>
    <w:p>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503</w:t>
      </w:r>
    </w:p>
    <w:p>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pPr>
        <w:pStyle w:val="14"/>
        <w:rPr>
          <w:rFonts w:hint="eastAsia" w:asciiTheme="minorEastAsia" w:hAnsiTheme="minorEastAsia" w:eastAsiaTheme="minorEastAsia" w:cstheme="minorEastAsia"/>
          <w:sz w:val="28"/>
          <w:szCs w:val="28"/>
          <w:lang w:val="en-US" w:eastAsia="zh-CN"/>
        </w:rPr>
      </w:pPr>
    </w:p>
    <w:p>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15"/>
        <w:jc w:val="center"/>
        <w:rPr>
          <w:rFonts w:hint="eastAsia" w:asciiTheme="minorEastAsia" w:hAnsiTheme="minorEastAsia" w:eastAsiaTheme="minorEastAsia" w:cstheme="minorEastAsia"/>
          <w:b/>
          <w:bCs/>
          <w:sz w:val="48"/>
          <w:szCs w:val="48"/>
          <w:lang w:val="en-US" w:eastAsia="zh-CN"/>
        </w:rPr>
      </w:pPr>
    </w:p>
    <w:p>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24711"/>
      <w:r>
        <w:rPr>
          <w:rFonts w:hint="eastAsia" w:asciiTheme="minorEastAsia" w:hAnsiTheme="minorEastAsia" w:eastAsiaTheme="minorEastAsia" w:cstheme="minorEastAsia"/>
          <w:color w:val="auto"/>
          <w:lang w:val="en-US" w:eastAsia="zh-CN"/>
        </w:rPr>
        <w:t>资质证书</w:t>
      </w:r>
      <w:bookmarkEnd w:id="9"/>
      <w:bookmarkEnd w:id="10"/>
    </w:p>
    <w:p>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anchor distT="0" distB="0" distL="114300" distR="114300" simplePos="0" relativeHeight="251660288" behindDoc="0" locked="0" layoutInCell="1" allowOverlap="1">
            <wp:simplePos x="0" y="0"/>
            <wp:positionH relativeFrom="column">
              <wp:posOffset>492125</wp:posOffset>
            </wp:positionH>
            <wp:positionV relativeFrom="paragraph">
              <wp:posOffset>290830</wp:posOffset>
            </wp:positionV>
            <wp:extent cx="4991735" cy="7053580"/>
            <wp:effectExtent l="0" t="0" r="18415" b="13970"/>
            <wp:wrapSquare wrapText="bothSides"/>
            <wp:docPr id="9" name="图片 9" descr="51ba779d9d7b01536b02aabaa8df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1ba779d9d7b01536b02aabaa8dff68"/>
                    <pic:cNvPicPr>
                      <a:picLocks noChangeAspect="1"/>
                    </pic:cNvPicPr>
                  </pic:nvPicPr>
                  <pic:blipFill>
                    <a:blip r:embed="rId17"/>
                    <a:stretch>
                      <a:fillRect/>
                    </a:stretch>
                  </pic:blipFill>
                  <pic:spPr>
                    <a:xfrm>
                      <a:off x="0" y="0"/>
                      <a:ext cx="4991735" cy="7053580"/>
                    </a:xfrm>
                    <a:prstGeom prst="rect">
                      <a:avLst/>
                    </a:prstGeom>
                  </pic:spPr>
                </pic:pic>
              </a:graphicData>
            </a:graphic>
          </wp:anchor>
        </w:drawing>
      </w:r>
    </w:p>
    <w:p>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5607"/>
      <w:bookmarkStart w:id="12" w:name="_Toc32736"/>
      <w:bookmarkStart w:id="13" w:name="_Toc4959"/>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1187"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山东华油万达化学有限公司2024年第二季度挥发性有机物检测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山东华油万达化学有限公司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山东省东营市垦利区胜坨镇政府驻地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09" w:type="pct"/>
            <w:gridSpan w:val="2"/>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2024年06月20日</w:t>
            </w:r>
          </w:p>
        </w:tc>
        <w:tc>
          <w:tcPr>
            <w:tcW w:w="1034"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2024年06月20日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仪器编号：T-004、T-005、T-008</w:t>
            </w:r>
          </w:p>
        </w:tc>
        <w:tc>
          <w:tcPr>
            <w:tcW w:w="805"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85" w:type="pct"/>
            <w:vMerge w:val="restar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85" w:type="pct"/>
            <w:vMerge w:val="continue"/>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top"/>
          </w:tcPr>
          <w:p>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《石油化学工业污染物排放标准》（GB 31571-2015）</w:t>
            </w:r>
          </w:p>
          <w:p>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《东营市挥发性有机物泄漏检测与修复（LDAR）实施技术导则》东环字〔2020〕31号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本轮项目检测：受控密封点位305个，实际检测密封点位305个，不可达密封点位0个，发现泄漏密封点位1个，已修复合格泄漏点位1个，泄漏率为:0.33%。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刘吉文、燕政飞</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pPr>
        <w:rPr>
          <w:rFonts w:hint="eastAsia" w:asciiTheme="minorEastAsia" w:hAnsiTheme="minorEastAsia" w:eastAsiaTheme="minorEastAsia" w:cstheme="minorEastAsia"/>
          <w:color w:val="auto"/>
          <w:lang w:val="en-US" w:eastAsia="zh-CN"/>
        </w:rPr>
      </w:pPr>
    </w:p>
    <w:p>
      <w:pPr>
        <w:pStyle w:val="2"/>
        <w:rPr>
          <w:rFonts w:hint="eastAsia" w:asciiTheme="minorEastAsia" w:hAnsiTheme="minorEastAsia" w:eastAsiaTheme="minorEastAsia" w:cstheme="minorEastAsia"/>
          <w:lang w:val="en-US" w:eastAsia="zh-CN"/>
        </w:rPr>
      </w:pPr>
    </w:p>
    <w:p>
      <w:pPr>
        <w:rPr>
          <w:rFonts w:hint="eastAsia" w:asciiTheme="minorEastAsia" w:hAnsiTheme="minorEastAsia" w:eastAsiaTheme="minorEastAsia" w:cstheme="minorEastAsia"/>
          <w:color w:val="auto"/>
          <w:lang w:val="en-US" w:eastAsia="zh-CN"/>
        </w:rPr>
      </w:pPr>
    </w:p>
    <w:p>
      <w:pPr>
        <w:pStyle w:val="2"/>
        <w:rPr>
          <w:rFonts w:hint="eastAsia" w:asciiTheme="minorEastAsia" w:hAnsiTheme="minorEastAsia" w:eastAsiaTheme="minorEastAsia" w:cstheme="minorEastAsia"/>
          <w:lang w:val="en-US" w:eastAsia="zh-CN"/>
        </w:rPr>
      </w:pPr>
    </w:p>
    <w:p>
      <w:pPr>
        <w:numPr>
          <w:ilvl w:val="0"/>
          <w:numId w:val="0"/>
        </w:numPr>
        <w:rPr>
          <w:rFonts w:hint="eastAsia" w:asciiTheme="minorEastAsia" w:hAnsiTheme="minorEastAsia" w:eastAsiaTheme="minorEastAsia" w:cstheme="minorEastAsia"/>
          <w:lang w:val="en-US" w:eastAsia="zh-CN"/>
        </w:rPr>
      </w:pPr>
    </w:p>
    <w:p>
      <w:pPr>
        <w:pStyle w:val="2"/>
        <w:rPr>
          <w:rFonts w:hint="eastAsia" w:asciiTheme="minorEastAsia" w:hAnsiTheme="minorEastAsia" w:eastAsiaTheme="minorEastAsia" w:cstheme="minorEastAsia"/>
          <w:lang w:val="en-US" w:eastAsia="zh-CN"/>
        </w:rPr>
      </w:pPr>
    </w:p>
    <w:p>
      <w:pPr>
        <w:rPr>
          <w:rFonts w:hint="eastAsia" w:asciiTheme="minorEastAsia" w:hAnsiTheme="minorEastAsia" w:eastAsiaTheme="minorEastAsia" w:cstheme="minorEastAsia"/>
          <w:lang w:val="en-US" w:eastAsia="zh-CN"/>
        </w:rPr>
      </w:pPr>
    </w:p>
    <w:p>
      <w:pPr>
        <w:rPr>
          <w:rFonts w:hint="eastAsia" w:asciiTheme="minorEastAsia" w:hAnsiTheme="minorEastAsia" w:eastAsiaTheme="minorEastAsia" w:cstheme="minorEastAsia"/>
          <w:lang w:val="en-US" w:eastAsia="zh-CN"/>
        </w:rPr>
      </w:pPr>
    </w:p>
    <w:p>
      <w:pPr>
        <w:rPr>
          <w:rFonts w:hint="eastAsia" w:asciiTheme="minorEastAsia" w:hAnsiTheme="minorEastAsia" w:eastAsiaTheme="minorEastAsia" w:cstheme="minorEastAsia"/>
          <w:sz w:val="18"/>
          <w:szCs w:val="18"/>
        </w:rPr>
      </w:pPr>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4682"/>
      <w:bookmarkStart w:id="16" w:name="_Toc22899"/>
      <w:bookmarkStart w:id="17" w:name="_Toc15413"/>
      <w:bookmarkStart w:id="18" w:name="_Toc25542"/>
      <w:bookmarkStart w:id="19" w:name="_Toc24810"/>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633"/>
        <w:gridCol w:w="1882"/>
        <w:gridCol w:w="1119"/>
        <w:gridCol w:w="1271"/>
        <w:gridCol w:w="1165"/>
        <w:gridCol w:w="865"/>
        <w:gridCol w:w="928"/>
        <w:gridCol w:w="11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838" w:type="dxa"/>
            <w:vMerge w:val="restart"/>
            <w:noWrap w:val="0"/>
            <w:textDirection w:val="tbRlV"/>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633" w:type="dxa"/>
            <w:noWrap w:val="0"/>
            <w:vAlign w:val="center"/>
          </w:tcPr>
          <w:p>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1882" w:type="dxa"/>
            <w:noWrap w:val="0"/>
            <w:vAlign w:val="center"/>
          </w:tcPr>
          <w:p>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1119" w:type="dxa"/>
            <w:noWrap w:val="0"/>
            <w:vAlign w:val="center"/>
          </w:tcPr>
          <w:p>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1271" w:type="dxa"/>
            <w:noWrap w:val="0"/>
            <w:vAlign w:val="center"/>
          </w:tcPr>
          <w:p>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1165" w:type="dxa"/>
            <w:noWrap w:val="0"/>
            <w:vAlign w:val="center"/>
          </w:tcPr>
          <w:p>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865" w:type="dxa"/>
            <w:noWrap w:val="0"/>
            <w:vAlign w:val="center"/>
          </w:tcPr>
          <w:p>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928" w:type="dxa"/>
            <w:noWrap w:val="0"/>
            <w:vAlign w:val="center"/>
          </w:tcPr>
          <w:p>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1153" w:type="dxa"/>
            <w:noWrap w:val="0"/>
            <w:vAlign w:val="center"/>
          </w:tcPr>
          <w:p>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38" w:type="dxa"/>
            <w:vMerge w:val="continue"/>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p>
        </w:tc>
        <w:tc>
          <w:tcPr>
            <w:tcW w:w="633" w:type="dxa"/>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882"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PAM水合工序</w:t>
            </w:r>
          </w:p>
        </w:tc>
        <w:tc>
          <w:tcPr>
            <w:tcW w:w="1119" w:type="dxa"/>
            <w:noWrap w:val="0"/>
            <w:vAlign w:val="center"/>
          </w:tcPr>
          <w:p>
            <w:pPr>
              <w:pStyle w:val="18"/>
              <w:ind w:firstLine="0" w:firstLineChars="0"/>
              <w:rPr>
                <w:rFonts w:hint="eastAsia" w:asciiTheme="minorEastAsia" w:hAnsiTheme="minorEastAsia" w:eastAsiaTheme="minorEastAsia" w:cstheme="minorEastAsia"/>
                <w:bCs/>
                <w:sz w:val="21"/>
                <w:szCs w:val="21"/>
                <w:lang w:val="en-US" w:eastAsia="zh-CN"/>
              </w:rPr>
            </w:pPr>
            <w:r>
              <w:rPr>
                <w:rFonts w:hint="eastAsia" w:ascii="宋体" w:hAnsi="宋体" w:eastAsia="宋体" w:cs="宋体"/>
                <w:bCs/>
                <w:color w:val="auto"/>
                <w:sz w:val="21"/>
                <w:szCs w:val="21"/>
                <w:highlight w:val="none"/>
                <w:lang w:val="en-US" w:eastAsia="zh-CN"/>
              </w:rPr>
              <w:t>143</w:t>
            </w:r>
          </w:p>
        </w:tc>
        <w:tc>
          <w:tcPr>
            <w:tcW w:w="1271" w:type="dxa"/>
            <w:noWrap w:val="0"/>
            <w:vAlign w:val="center"/>
          </w:tcPr>
          <w:p>
            <w:pPr>
              <w:pStyle w:val="18"/>
              <w:ind w:firstLine="0" w:firstLineChars="0"/>
              <w:rPr>
                <w:rFonts w:hint="eastAsia" w:asciiTheme="minorEastAsia" w:hAnsiTheme="minorEastAsia" w:eastAsiaTheme="minorEastAsia" w:cstheme="minorEastAsia"/>
                <w:bCs/>
                <w:sz w:val="21"/>
                <w:szCs w:val="21"/>
                <w:lang w:val="en-US" w:eastAsia="zh-CN"/>
              </w:rPr>
            </w:pPr>
            <w:r>
              <w:rPr>
                <w:rFonts w:hint="eastAsia" w:ascii="宋体" w:hAnsi="宋体" w:eastAsia="宋体" w:cs="宋体"/>
                <w:bCs/>
                <w:color w:val="auto"/>
                <w:sz w:val="21"/>
                <w:szCs w:val="21"/>
                <w:highlight w:val="none"/>
                <w:lang w:val="en-US" w:eastAsia="zh-CN"/>
              </w:rPr>
              <w:t>143</w:t>
            </w:r>
          </w:p>
        </w:tc>
        <w:tc>
          <w:tcPr>
            <w:tcW w:w="1165" w:type="dxa"/>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5" w:type="dxa"/>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28" w:type="dxa"/>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153" w:type="dxa"/>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38" w:type="dxa"/>
            <w:vMerge w:val="continue"/>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p>
        </w:tc>
        <w:tc>
          <w:tcPr>
            <w:tcW w:w="633" w:type="dxa"/>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1882"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储运装置</w:t>
            </w:r>
          </w:p>
        </w:tc>
        <w:tc>
          <w:tcPr>
            <w:tcW w:w="1119" w:type="dxa"/>
            <w:noWrap w:val="0"/>
            <w:vAlign w:val="center"/>
          </w:tcPr>
          <w:p>
            <w:pPr>
              <w:pStyle w:val="18"/>
              <w:ind w:firstLine="0" w:firstLineChars="0"/>
              <w:rPr>
                <w:rFonts w:hint="eastAsia" w:asciiTheme="minorEastAsia" w:hAnsiTheme="minorEastAsia" w:eastAsiaTheme="minorEastAsia" w:cstheme="minorEastAsia"/>
                <w:bCs/>
                <w:color w:val="auto"/>
                <w:sz w:val="21"/>
                <w:szCs w:val="21"/>
                <w:lang w:val="en-US" w:eastAsia="zh-CN"/>
              </w:rPr>
            </w:pPr>
            <w:r>
              <w:rPr>
                <w:rFonts w:hint="eastAsia" w:ascii="宋体" w:hAnsi="宋体" w:eastAsia="宋体" w:cs="宋体"/>
                <w:bCs/>
                <w:color w:val="auto"/>
                <w:sz w:val="21"/>
                <w:szCs w:val="21"/>
                <w:lang w:val="en-US" w:eastAsia="zh-CN"/>
              </w:rPr>
              <w:t>162</w:t>
            </w:r>
          </w:p>
        </w:tc>
        <w:tc>
          <w:tcPr>
            <w:tcW w:w="1271" w:type="dxa"/>
            <w:noWrap w:val="0"/>
            <w:vAlign w:val="center"/>
          </w:tcPr>
          <w:p>
            <w:pPr>
              <w:pStyle w:val="18"/>
              <w:ind w:firstLine="0" w:firstLineChars="0"/>
              <w:rPr>
                <w:rFonts w:hint="eastAsia" w:asciiTheme="minorEastAsia" w:hAnsiTheme="minorEastAsia" w:eastAsiaTheme="minorEastAsia" w:cstheme="minorEastAsia"/>
                <w:bCs/>
                <w:color w:val="auto"/>
                <w:sz w:val="21"/>
                <w:szCs w:val="21"/>
                <w:lang w:val="en-US" w:eastAsia="zh-CN"/>
              </w:rPr>
            </w:pPr>
            <w:r>
              <w:rPr>
                <w:rFonts w:hint="eastAsia" w:ascii="宋体" w:hAnsi="宋体" w:eastAsia="宋体" w:cs="宋体"/>
                <w:bCs/>
                <w:color w:val="auto"/>
                <w:sz w:val="21"/>
                <w:szCs w:val="21"/>
                <w:highlight w:val="none"/>
                <w:lang w:val="en-US" w:eastAsia="zh-CN"/>
              </w:rPr>
              <w:t>162</w:t>
            </w:r>
          </w:p>
        </w:tc>
        <w:tc>
          <w:tcPr>
            <w:tcW w:w="1165" w:type="dxa"/>
            <w:noWrap w:val="0"/>
            <w:vAlign w:val="center"/>
          </w:tcPr>
          <w:p>
            <w:pPr>
              <w:ind w:firstLine="0" w:firstLineChars="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5" w:type="dxa"/>
            <w:noWrap w:val="0"/>
            <w:vAlign w:val="center"/>
          </w:tcPr>
          <w:p>
            <w:pPr>
              <w:tabs>
                <w:tab w:val="center" w:pos="384"/>
                <w:tab w:val="left" w:pos="502"/>
              </w:tabs>
              <w:ind w:firstLine="0" w:firstLineChars="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928" w:type="dxa"/>
            <w:noWrap w:val="0"/>
            <w:vAlign w:val="center"/>
          </w:tcPr>
          <w:p>
            <w:pPr>
              <w:ind w:firstLine="0" w:firstLineChars="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1153" w:type="dxa"/>
            <w:noWrap w:val="0"/>
            <w:vAlign w:val="center"/>
          </w:tcPr>
          <w:p>
            <w:pPr>
              <w:ind w:firstLine="0" w:firstLineChars="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38" w:type="dxa"/>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2515" w:type="dxa"/>
            <w:gridSpan w:val="2"/>
            <w:tcBorders>
              <w:tr2bl w:val="single" w:color="auto" w:sz="4" w:space="0"/>
            </w:tcBorders>
            <w:noWrap w:val="0"/>
            <w:vAlign w:val="center"/>
          </w:tcPr>
          <w:p>
            <w:pPr>
              <w:ind w:firstLine="360" w:firstLineChars="0"/>
              <w:jc w:val="center"/>
              <w:rPr>
                <w:rFonts w:hint="eastAsia" w:asciiTheme="minorEastAsia" w:hAnsiTheme="minorEastAsia" w:eastAsiaTheme="minorEastAsia" w:cstheme="minorEastAsia"/>
                <w:bCs/>
                <w:sz w:val="21"/>
                <w:szCs w:val="21"/>
              </w:rPr>
            </w:pPr>
          </w:p>
        </w:tc>
        <w:tc>
          <w:tcPr>
            <w:tcW w:w="1119" w:type="dxa"/>
            <w:noWrap w:val="0"/>
            <w:vAlign w:val="center"/>
          </w:tcPr>
          <w:p>
            <w:pPr>
              <w:pStyle w:val="18"/>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宋体" w:hAnsi="宋体" w:cs="宋体"/>
                <w:bCs/>
                <w:sz w:val="21"/>
                <w:szCs w:val="21"/>
                <w:lang w:val="en-US" w:eastAsia="zh-CN"/>
              </w:rPr>
              <w:t>305</w:t>
            </w:r>
          </w:p>
        </w:tc>
        <w:tc>
          <w:tcPr>
            <w:tcW w:w="1271" w:type="dxa"/>
            <w:noWrap w:val="0"/>
            <w:vAlign w:val="center"/>
          </w:tcPr>
          <w:p>
            <w:pPr>
              <w:pStyle w:val="18"/>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宋体" w:hAnsi="宋体" w:cs="宋体"/>
                <w:bCs/>
                <w:sz w:val="21"/>
                <w:szCs w:val="21"/>
                <w:lang w:val="en-US" w:eastAsia="zh-CN"/>
              </w:rPr>
              <w:t>305</w:t>
            </w:r>
          </w:p>
        </w:tc>
        <w:tc>
          <w:tcPr>
            <w:tcW w:w="1165" w:type="dxa"/>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5" w:type="dxa"/>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28" w:type="dxa"/>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153" w:type="dxa"/>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山东华油万达化学有限公司泄漏检测项目，依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 xml:space="preserve">《石油化学工业污染物排放标准》（GB 31571-2015） </w:t>
            </w:r>
            <w:r>
              <w:rPr>
                <w:rFonts w:hint="eastAsia" w:asciiTheme="minorEastAsia" w:hAnsiTheme="minorEastAsia" w:eastAsiaTheme="minorEastAsia" w:cstheme="minorEastAsia"/>
                <w:highlight w:val="none"/>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全厂生产装置泄漏检测项目需开展检测的设备与管线动</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305</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密封点305</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1</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点1</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pPr>
              <w:widowControl/>
              <w:ind w:firstLine="360"/>
              <w:rPr>
                <w:rFonts w:hint="eastAsia" w:asciiTheme="minorEastAsia" w:hAnsiTheme="minorEastAsia" w:eastAsiaTheme="minorEastAsia" w:cstheme="minorEastAsia"/>
                <w:sz w:val="18"/>
                <w:szCs w:val="18"/>
              </w:rPr>
            </w:pPr>
          </w:p>
          <w:p>
            <w:pPr>
              <w:widowControl/>
              <w:ind w:firstLine="360"/>
              <w:rPr>
                <w:rFonts w:hint="eastAsia" w:asciiTheme="minorEastAsia" w:hAnsiTheme="minorEastAsia" w:eastAsiaTheme="minorEastAsia" w:cstheme="minorEastAsia"/>
                <w:sz w:val="18"/>
                <w:szCs w:val="18"/>
              </w:rPr>
            </w:pPr>
          </w:p>
          <w:p>
            <w:pPr>
              <w:widowControl/>
              <w:ind w:firstLine="360"/>
              <w:rPr>
                <w:rFonts w:hint="eastAsia" w:asciiTheme="minorEastAsia" w:hAnsiTheme="minorEastAsia" w:eastAsiaTheme="minorEastAsia" w:cstheme="minorEastAsia"/>
                <w:sz w:val="18"/>
                <w:szCs w:val="18"/>
              </w:rPr>
            </w:pPr>
          </w:p>
          <w:p>
            <w:pPr>
              <w:widowControl/>
              <w:ind w:firstLine="360"/>
              <w:rPr>
                <w:rFonts w:hint="eastAsia" w:asciiTheme="minorEastAsia" w:hAnsiTheme="minorEastAsia" w:eastAsiaTheme="minorEastAsia" w:cstheme="minorEastAsia"/>
                <w:sz w:val="18"/>
                <w:szCs w:val="18"/>
              </w:rPr>
            </w:pPr>
          </w:p>
          <w:p>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16445"/>
      <w:bookmarkStart w:id="21" w:name="_Toc18722"/>
      <w:bookmarkStart w:id="22" w:name="_Toc25944"/>
      <w:bookmarkStart w:id="23" w:name="_Toc23582"/>
      <w:bookmarkStart w:id="24" w:name="_Toc1264"/>
      <w:bookmarkStart w:id="25" w:name="_Toc20325"/>
      <w:bookmarkStart w:id="26" w:name="_Toc21310"/>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PAM水合工序</w:t>
            </w:r>
          </w:p>
        </w:tc>
        <w:tc>
          <w:tcPr>
            <w:tcW w:w="2200" w:type="dxa"/>
            <w:tcBorders>
              <w:tl2br w:val="nil"/>
              <w:tr2bl w:val="nil"/>
            </w:tcBorders>
            <w:shd w:val="clear" w:color="auto" w:fill="auto"/>
            <w:tcMar>
              <w:top w:w="15" w:type="dxa"/>
              <w:left w:w="15" w:type="dxa"/>
              <w:right w:w="15" w:type="dxa"/>
            </w:tcMar>
            <w:vAlign w:val="center"/>
          </w:tcPr>
          <w:p>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i w:val="0"/>
                <w:color w:val="000000"/>
                <w:kern w:val="0"/>
                <w:sz w:val="21"/>
                <w:szCs w:val="21"/>
                <w:u w:val="none"/>
                <w:lang w:val="en-US" w:eastAsia="zh-CN" w:bidi="ar"/>
              </w:rPr>
              <w:t>143</w:t>
            </w:r>
          </w:p>
        </w:tc>
        <w:tc>
          <w:tcPr>
            <w:tcW w:w="1988" w:type="dxa"/>
            <w:tcBorders>
              <w:tl2br w:val="nil"/>
              <w:tr2bl w:val="nil"/>
            </w:tcBorders>
            <w:shd w:val="clear" w:color="auto" w:fill="auto"/>
            <w:tcMar>
              <w:top w:w="15" w:type="dxa"/>
              <w:left w:w="15" w:type="dxa"/>
              <w:right w:w="15" w:type="dxa"/>
            </w:tcMar>
            <w:vAlign w:val="center"/>
          </w:tcPr>
          <w:p>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i w:val="0"/>
                <w:color w:val="000000"/>
                <w:kern w:val="0"/>
                <w:sz w:val="21"/>
                <w:szCs w:val="21"/>
                <w:u w:val="none"/>
                <w:lang w:val="en-US" w:eastAsia="zh-CN" w:bidi="ar"/>
              </w:rPr>
              <w:t>143</w:t>
            </w:r>
          </w:p>
        </w:tc>
        <w:tc>
          <w:tcPr>
            <w:tcW w:w="2487" w:type="dxa"/>
            <w:tcBorders>
              <w:tl2br w:val="nil"/>
              <w:tr2bl w:val="nil"/>
            </w:tcBorders>
            <w:shd w:val="clear" w:color="auto" w:fill="auto"/>
            <w:tcMar>
              <w:top w:w="15" w:type="dxa"/>
              <w:left w:w="15" w:type="dxa"/>
              <w:right w:w="15" w:type="dxa"/>
            </w:tcMar>
            <w:vAlign w:val="center"/>
          </w:tcPr>
          <w:p>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bCs/>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041" w:type="dxa"/>
            <w:tcBorders>
              <w:tl2br w:val="nil"/>
              <w:tr2bl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储运装置</w:t>
            </w:r>
          </w:p>
        </w:tc>
        <w:tc>
          <w:tcPr>
            <w:tcW w:w="2200" w:type="dxa"/>
            <w:tcBorders>
              <w:tl2br w:val="nil"/>
              <w:tr2bl w:val="nil"/>
            </w:tcBorders>
            <w:shd w:val="clear" w:color="auto" w:fill="auto"/>
            <w:tcMar>
              <w:top w:w="15" w:type="dxa"/>
              <w:left w:w="15" w:type="dxa"/>
              <w:right w:w="15" w:type="dxa"/>
            </w:tcMar>
            <w:vAlign w:val="center"/>
          </w:tcPr>
          <w:p>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162</w:t>
            </w:r>
          </w:p>
        </w:tc>
        <w:tc>
          <w:tcPr>
            <w:tcW w:w="1988" w:type="dxa"/>
            <w:tcBorders>
              <w:tl2br w:val="nil"/>
              <w:tr2bl w:val="nil"/>
            </w:tcBorders>
            <w:shd w:val="clear" w:color="auto" w:fill="auto"/>
            <w:tcMar>
              <w:top w:w="15" w:type="dxa"/>
              <w:left w:w="15" w:type="dxa"/>
              <w:right w:w="15" w:type="dxa"/>
            </w:tcMar>
            <w:vAlign w:val="center"/>
          </w:tcPr>
          <w:p>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162</w:t>
            </w:r>
          </w:p>
        </w:tc>
        <w:tc>
          <w:tcPr>
            <w:tcW w:w="2487" w:type="dxa"/>
            <w:tcBorders>
              <w:tl2br w:val="nil"/>
              <w:tr2bl w:val="nil"/>
            </w:tcBorders>
            <w:shd w:val="clear" w:color="auto" w:fill="auto"/>
            <w:tcMar>
              <w:top w:w="15" w:type="dxa"/>
              <w:left w:w="15" w:type="dxa"/>
              <w:right w:w="15" w:type="dxa"/>
            </w:tcMar>
            <w:vAlign w:val="center"/>
          </w:tcPr>
          <w:p>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i w:val="0"/>
                <w:color w:val="000000"/>
                <w:kern w:val="0"/>
                <w:sz w:val="21"/>
                <w:szCs w:val="21"/>
                <w:u w:val="none"/>
                <w:lang w:val="en-US" w:eastAsia="zh-CN" w:bidi="ar"/>
              </w:rPr>
              <w:t>305</w:t>
            </w:r>
          </w:p>
        </w:tc>
        <w:tc>
          <w:tcPr>
            <w:tcW w:w="1988" w:type="dxa"/>
            <w:tcBorders>
              <w:tl2br w:val="nil"/>
              <w:tr2bl w:val="nil"/>
            </w:tcBorders>
            <w:shd w:val="clear" w:color="auto" w:fill="auto"/>
            <w:tcMar>
              <w:top w:w="15" w:type="dxa"/>
              <w:left w:w="15" w:type="dxa"/>
              <w:right w:w="15" w:type="dxa"/>
            </w:tcMar>
            <w:vAlign w:val="center"/>
          </w:tcPr>
          <w:p>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宋体" w:hAnsi="宋体" w:cs="宋体"/>
                <w:i w:val="0"/>
                <w:color w:val="000000"/>
                <w:sz w:val="21"/>
                <w:szCs w:val="21"/>
                <w:u w:val="none"/>
                <w:lang w:val="en-US" w:eastAsia="zh-CN"/>
              </w:rPr>
              <w:t>305</w:t>
            </w:r>
          </w:p>
        </w:tc>
        <w:tc>
          <w:tcPr>
            <w:tcW w:w="2487" w:type="dxa"/>
            <w:tcBorders>
              <w:tl2br w:val="nil"/>
              <w:tr2bl w:val="nil"/>
            </w:tcBorders>
            <w:shd w:val="clear" w:color="auto" w:fill="auto"/>
            <w:tcMar>
              <w:top w:w="15" w:type="dxa"/>
              <w:left w:w="15" w:type="dxa"/>
              <w:right w:w="15" w:type="dxa"/>
            </w:tcMar>
            <w:vAlign w:val="center"/>
          </w:tcPr>
          <w:p>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宋体" w:hAnsi="宋体" w:cs="宋体"/>
                <w:bCs/>
                <w:sz w:val="21"/>
                <w:szCs w:val="21"/>
                <w:lang w:val="en-US" w:eastAsia="zh-CN"/>
              </w:rPr>
              <w:t>0</w:t>
            </w:r>
          </w:p>
        </w:tc>
      </w:tr>
    </w:tbl>
    <w:p>
      <w:pPr>
        <w:rPr>
          <w:rFonts w:hint="eastAsia" w:asciiTheme="minorEastAsia" w:hAnsiTheme="minorEastAsia" w:eastAsiaTheme="minorEastAsia" w:cstheme="minorEastAsia"/>
          <w:color w:val="auto"/>
          <w:sz w:val="21"/>
          <w:szCs w:val="21"/>
          <w:lang w:val="en-US" w:eastAsia="zh-CN"/>
        </w:rPr>
      </w:pPr>
      <w:bookmarkStart w:id="27" w:name="_Toc20586"/>
      <w:bookmarkStart w:id="28" w:name="_Toc32444"/>
      <w:bookmarkStart w:id="29" w:name="_Toc16471"/>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991"/>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1329" w:tblpY="186"/>
        <w:tblOverlap w:val="never"/>
        <w:tblW w:w="93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3457" w:type="dxa"/>
            <w:gridSpan w:val="2"/>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密封点类型</w:t>
            </w:r>
          </w:p>
        </w:tc>
        <w:tc>
          <w:tcPr>
            <w:tcW w:w="2052"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建档密封点数量(个)</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检测密封点数量(个)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1107" w:type="dxa"/>
            <w:vMerge w:val="restart"/>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动密封点</w:t>
            </w:r>
          </w:p>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阀门(V)</w:t>
            </w:r>
          </w:p>
        </w:tc>
        <w:tc>
          <w:tcPr>
            <w:tcW w:w="2052"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76</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开口阀或开口管线(O)</w:t>
            </w:r>
          </w:p>
        </w:tc>
        <w:tc>
          <w:tcPr>
            <w:tcW w:w="2052"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泵(P)</w:t>
            </w:r>
          </w:p>
        </w:tc>
        <w:tc>
          <w:tcPr>
            <w:tcW w:w="2052"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搅拌器(A)</w:t>
            </w:r>
          </w:p>
        </w:tc>
        <w:tc>
          <w:tcPr>
            <w:tcW w:w="2052"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5</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压缩机(Y)</w:t>
            </w:r>
          </w:p>
        </w:tc>
        <w:tc>
          <w:tcPr>
            <w:tcW w:w="2052"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泄压设备(R)</w:t>
            </w:r>
          </w:p>
        </w:tc>
        <w:tc>
          <w:tcPr>
            <w:tcW w:w="2052"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其他(Q)</w:t>
            </w:r>
          </w:p>
        </w:tc>
        <w:tc>
          <w:tcPr>
            <w:tcW w:w="2052"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合计</w:t>
            </w:r>
          </w:p>
        </w:tc>
        <w:tc>
          <w:tcPr>
            <w:tcW w:w="2052"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86</w:t>
            </w:r>
          </w:p>
        </w:tc>
        <w:tc>
          <w:tcPr>
            <w:tcW w:w="146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9</w:t>
            </w:r>
          </w:p>
        </w:tc>
        <w:tc>
          <w:tcPr>
            <w:tcW w:w="1107" w:type="dxa"/>
            <w:vMerge w:val="restart"/>
            <w:tcBorders>
              <w:tl2br w:val="nil"/>
              <w:tr2bl w:val="nil"/>
            </w:tcBorders>
            <w:shd w:val="clear" w:color="auto" w:fill="auto"/>
            <w:noWrap/>
            <w:vAlign w:val="center"/>
          </w:tcPr>
          <w:p>
            <w:pPr>
              <w:tabs>
                <w:tab w:val="left" w:pos="409"/>
              </w:tabs>
              <w:jc w:val="left"/>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静密封点</w:t>
            </w:r>
          </w:p>
        </w:tc>
        <w:tc>
          <w:tcPr>
            <w:tcW w:w="235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法兰(F)</w:t>
            </w:r>
          </w:p>
        </w:tc>
        <w:tc>
          <w:tcPr>
            <w:tcW w:w="205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199</w:t>
            </w:r>
          </w:p>
        </w:tc>
        <w:tc>
          <w:tcPr>
            <w:tcW w:w="14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199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10</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连接件(C)</w:t>
            </w:r>
          </w:p>
        </w:tc>
        <w:tc>
          <w:tcPr>
            <w:tcW w:w="205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20</w:t>
            </w:r>
          </w:p>
        </w:tc>
        <w:tc>
          <w:tcPr>
            <w:tcW w:w="14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11</w:t>
            </w:r>
          </w:p>
        </w:tc>
        <w:tc>
          <w:tcPr>
            <w:tcW w:w="1107" w:type="dxa"/>
            <w:vMerge w:val="continue"/>
            <w:tcBorders>
              <w:tl2br w:val="nil"/>
              <w:tr2bl w:val="nil"/>
            </w:tcBorders>
            <w:shd w:val="clear" w:color="auto" w:fill="auto"/>
            <w:noWrap/>
            <w:vAlign w:val="center"/>
          </w:tcPr>
          <w:p>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合计</w:t>
            </w:r>
          </w:p>
        </w:tc>
        <w:tc>
          <w:tcPr>
            <w:tcW w:w="205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219</w:t>
            </w:r>
          </w:p>
        </w:tc>
        <w:tc>
          <w:tcPr>
            <w:tcW w:w="14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3457"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密封点合计</w:t>
            </w:r>
          </w:p>
        </w:tc>
        <w:tc>
          <w:tcPr>
            <w:tcW w:w="205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305</w:t>
            </w:r>
          </w:p>
        </w:tc>
        <w:tc>
          <w:tcPr>
            <w:tcW w:w="14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305</w:t>
            </w:r>
          </w:p>
        </w:tc>
      </w:tr>
    </w:tbl>
    <w:p>
      <w:pPr>
        <w:jc w:val="center"/>
        <w:rPr>
          <w:rFonts w:hint="eastAsia" w:asciiTheme="minorEastAsia" w:hAnsiTheme="minorEastAsia" w:eastAsiaTheme="minorEastAsia" w:cstheme="minorEastAsia"/>
          <w:lang w:val="en-US" w:eastAsia="zh-CN"/>
        </w:rPr>
      </w:pPr>
    </w:p>
    <w:p>
      <w:pPr>
        <w:pStyle w:val="2"/>
        <w:rPr>
          <w:rFonts w:hint="eastAsia" w:asciiTheme="minorEastAsia" w:hAnsiTheme="minorEastAsia" w:eastAsiaTheme="minorEastAsia" w:cstheme="minorEastAsia"/>
          <w:lang w:val="en-US" w:eastAsia="zh-CN"/>
        </w:rPr>
      </w:pPr>
    </w:p>
    <w:p>
      <w:pPr>
        <w:pStyle w:val="2"/>
        <w:rPr>
          <w:rFonts w:hint="eastAsia" w:asciiTheme="minorEastAsia" w:hAnsiTheme="minorEastAsia" w:eastAsiaTheme="minorEastAsia" w:cstheme="minorEastAsia"/>
          <w:lang w:val="en-US" w:eastAsia="zh-CN"/>
        </w:rPr>
      </w:pPr>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7239"/>
      <w:bookmarkStart w:id="33" w:name="_Toc14952"/>
      <w:bookmarkStart w:id="34" w:name="_Toc12364"/>
      <w:bookmarkStart w:id="35" w:name="_Toc4739"/>
      <w:bookmarkStart w:id="36" w:name="_Toc10761"/>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350" w:type="pct"/>
            <w:vMerge w:val="restart"/>
            <w:tcBorders>
              <w:tl2br w:val="nil"/>
              <w:tr2bl w:val="nil"/>
            </w:tcBorders>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w:t>
            </w:r>
          </w:p>
        </w:tc>
        <w:tc>
          <w:tcPr>
            <w:tcW w:w="738" w:type="pct"/>
            <w:vMerge w:val="restart"/>
            <w:tcBorders>
              <w:tl2br w:val="nil"/>
              <w:tr2bl w:val="nil"/>
            </w:tcBorders>
            <w:vAlign w:val="center"/>
          </w:tcPr>
          <w:p>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2024-06-20</w:t>
            </w:r>
          </w:p>
        </w:tc>
        <w:tc>
          <w:tcPr>
            <w:tcW w:w="673" w:type="pct"/>
            <w:tcBorders>
              <w:tl2br w:val="nil"/>
              <w:tr2bl w:val="nil"/>
            </w:tcBorders>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PAM水合　工序</w:t>
            </w:r>
          </w:p>
        </w:tc>
        <w:tc>
          <w:tcPr>
            <w:tcW w:w="744" w:type="pct"/>
            <w:tcBorders>
              <w:tl2br w:val="nil"/>
              <w:tr2bl w:val="nil"/>
            </w:tcBorders>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1.1</w:t>
            </w:r>
          </w:p>
        </w:tc>
        <w:tc>
          <w:tcPr>
            <w:tcW w:w="622" w:type="pct"/>
            <w:vMerge w:val="restart"/>
            <w:tcBorders>
              <w:tl2br w:val="nil"/>
              <w:tr2bl w:val="nil"/>
            </w:tcBorders>
            <w:vAlign w:val="center"/>
          </w:tcPr>
          <w:p>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2.2</w:t>
            </w:r>
          </w:p>
        </w:tc>
        <w:tc>
          <w:tcPr>
            <w:tcW w:w="622" w:type="pct"/>
            <w:vMerge w:val="restart"/>
            <w:tcBorders>
              <w:tl2br w:val="nil"/>
              <w:tr2bl w:val="nil"/>
            </w:tcBorders>
            <w:vAlign w:val="center"/>
          </w:tcPr>
          <w:p>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31</w:t>
            </w:r>
          </w:p>
        </w:tc>
        <w:tc>
          <w:tcPr>
            <w:tcW w:w="622" w:type="pct"/>
            <w:vMerge w:val="restart"/>
            <w:tcBorders>
              <w:tl2br w:val="nil"/>
              <w:tr2bl w:val="nil"/>
            </w:tcBorders>
            <w:vAlign w:val="center"/>
          </w:tcPr>
          <w:p>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28</w:t>
            </w:r>
          </w:p>
        </w:tc>
        <w:tc>
          <w:tcPr>
            <w:tcW w:w="624" w:type="pct"/>
            <w:vMerge w:val="restart"/>
            <w:tcBorders>
              <w:tl2br w:val="nil"/>
              <w:tr2bl w:val="nil"/>
            </w:tcBorders>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350" w:type="pct"/>
            <w:vMerge w:val="continue"/>
            <w:tcBorders>
              <w:tl2br w:val="nil"/>
              <w:tr2bl w:val="nil"/>
            </w:tcBorders>
            <w:vAlign w:val="center"/>
          </w:tcPr>
          <w:p>
            <w:pPr>
              <w:jc w:val="center"/>
              <w:rPr>
                <w:rFonts w:hint="eastAsia" w:asciiTheme="minorEastAsia" w:hAnsiTheme="minorEastAsia" w:eastAsiaTheme="minorEastAsia" w:cstheme="minorEastAsia"/>
                <w:b w:val="0"/>
                <w:bCs w:val="0"/>
                <w:sz w:val="21"/>
                <w:szCs w:val="21"/>
                <w:lang w:val="en-US" w:eastAsia="zh-CN"/>
              </w:rPr>
            </w:pPr>
          </w:p>
        </w:tc>
        <w:tc>
          <w:tcPr>
            <w:tcW w:w="738" w:type="pct"/>
            <w:vMerge w:val="continue"/>
            <w:tcBorders>
              <w:tl2br w:val="nil"/>
              <w:tr2bl w:val="nil"/>
            </w:tcBorders>
            <w:vAlign w:val="center"/>
          </w:tcPr>
          <w:p>
            <w:pPr>
              <w:jc w:val="center"/>
              <w:rPr>
                <w:rFonts w:hint="eastAsia" w:asciiTheme="minorEastAsia" w:hAnsiTheme="minorEastAsia" w:eastAsiaTheme="minorEastAsia" w:cstheme="minorEastAsia"/>
                <w:b w:val="0"/>
                <w:bCs w:val="0"/>
                <w:sz w:val="21"/>
                <w:szCs w:val="21"/>
                <w:lang w:val="en-US" w:eastAsia="zh-CN"/>
              </w:rPr>
            </w:pPr>
          </w:p>
        </w:tc>
        <w:tc>
          <w:tcPr>
            <w:tcW w:w="673" w:type="pct"/>
            <w:tcBorders>
              <w:tl2br w:val="nil"/>
              <w:tr2bl w:val="nil"/>
            </w:tcBorders>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vAlign w:val="center"/>
          </w:tcPr>
          <w:p>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0.9</w:t>
            </w:r>
          </w:p>
        </w:tc>
        <w:tc>
          <w:tcPr>
            <w:tcW w:w="622" w:type="pct"/>
            <w:vMerge w:val="continue"/>
            <w:tcBorders>
              <w:tl2br w:val="nil"/>
              <w:tr2bl w:val="nil"/>
            </w:tcBorders>
            <w:vAlign w:val="center"/>
          </w:tcPr>
          <w:p>
            <w:pPr>
              <w:jc w:val="center"/>
              <w:rPr>
                <w:rFonts w:hint="eastAsia" w:asciiTheme="minorEastAsia" w:hAnsiTheme="minorEastAsia" w:eastAsiaTheme="minorEastAsia" w:cstheme="minorEastAsia"/>
                <w:b w:val="0"/>
                <w:bCs w:val="0"/>
                <w:sz w:val="21"/>
                <w:szCs w:val="21"/>
                <w:lang w:val="en-US" w:eastAsia="zh-CN"/>
              </w:rPr>
            </w:pPr>
          </w:p>
        </w:tc>
        <w:tc>
          <w:tcPr>
            <w:tcW w:w="622" w:type="pct"/>
            <w:vMerge w:val="continue"/>
            <w:tcBorders>
              <w:tl2br w:val="nil"/>
              <w:tr2bl w:val="nil"/>
            </w:tcBorders>
            <w:vAlign w:val="center"/>
          </w:tcPr>
          <w:p>
            <w:pPr>
              <w:jc w:val="center"/>
              <w:rPr>
                <w:rFonts w:hint="eastAsia" w:asciiTheme="minorEastAsia" w:hAnsiTheme="minorEastAsia" w:eastAsiaTheme="minorEastAsia" w:cstheme="minorEastAsia"/>
                <w:b w:val="0"/>
                <w:bCs w:val="0"/>
                <w:sz w:val="21"/>
                <w:szCs w:val="21"/>
                <w:lang w:val="en-US" w:eastAsia="zh-CN"/>
              </w:rPr>
            </w:pPr>
          </w:p>
        </w:tc>
        <w:tc>
          <w:tcPr>
            <w:tcW w:w="622" w:type="pct"/>
            <w:vMerge w:val="continue"/>
            <w:tcBorders>
              <w:tl2br w:val="nil"/>
              <w:tr2bl w:val="nil"/>
            </w:tcBorders>
            <w:vAlign w:val="center"/>
          </w:tcPr>
          <w:p>
            <w:pPr>
              <w:jc w:val="center"/>
              <w:rPr>
                <w:rFonts w:hint="eastAsia" w:asciiTheme="minorEastAsia" w:hAnsiTheme="minorEastAsia" w:eastAsiaTheme="minorEastAsia" w:cstheme="minorEastAsia"/>
                <w:b w:val="0"/>
                <w:bCs w:val="0"/>
                <w:sz w:val="21"/>
                <w:szCs w:val="21"/>
                <w:lang w:val="en-US" w:eastAsia="zh-CN"/>
              </w:rPr>
            </w:pPr>
          </w:p>
        </w:tc>
        <w:tc>
          <w:tcPr>
            <w:tcW w:w="624" w:type="pct"/>
            <w:vMerge w:val="continue"/>
            <w:tcBorders>
              <w:tl2br w:val="nil"/>
              <w:tr2bl w:val="nil"/>
            </w:tcBorders>
            <w:vAlign w:val="center"/>
          </w:tcPr>
          <w:p>
            <w:pPr>
              <w:jc w:val="center"/>
              <w:rPr>
                <w:rFonts w:hint="eastAsia" w:asciiTheme="minorEastAsia" w:hAnsiTheme="minorEastAsia" w:eastAsiaTheme="minorEastAsia" w:cstheme="minorEastAsia"/>
                <w:b w:val="0"/>
                <w:bCs w:val="0"/>
                <w:sz w:val="21"/>
                <w:szCs w:val="21"/>
                <w:lang w:val="en-US" w:eastAsia="zh-CN"/>
              </w:rPr>
            </w:pPr>
          </w:p>
        </w:tc>
      </w:tr>
    </w:tbl>
    <w:p>
      <w:pPr>
        <w:jc w:val="center"/>
        <w:rPr>
          <w:rFonts w:hint="eastAsia" w:asciiTheme="minorEastAsia" w:hAnsiTheme="minorEastAsia" w:eastAsiaTheme="minorEastAsia" w:cstheme="minorEastAsia"/>
          <w:b w:val="0"/>
          <w:bCs w:val="0"/>
          <w:sz w:val="21"/>
          <w:szCs w:val="21"/>
          <w:lang w:val="en-US" w:eastAsia="zh-CN"/>
        </w:rPr>
      </w:pPr>
    </w:p>
    <w:p>
      <w:pPr>
        <w:jc w:val="center"/>
        <w:rPr>
          <w:rFonts w:hint="eastAsia" w:asciiTheme="minorEastAsia" w:hAnsiTheme="minorEastAsia" w:eastAsiaTheme="minorEastAsia" w:cstheme="minorEastAsia"/>
          <w:b w:val="0"/>
          <w:bCs w:val="0"/>
          <w:lang w:val="en-US" w:eastAsia="zh-CN"/>
        </w:rPr>
      </w:pPr>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4967"/>
      <w:bookmarkStart w:id="38" w:name="_Toc6221"/>
      <w:bookmarkStart w:id="39" w:name="_Toc2528"/>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pPr>
        <w:rPr>
          <w:rFonts w:hint="eastAsia" w:asciiTheme="minorEastAsia" w:hAnsiTheme="minorEastAsia" w:eastAsiaTheme="minorEastAsia" w:cstheme="minorEastAsia"/>
          <w:sz w:val="21"/>
          <w:szCs w:val="21"/>
          <w:lang w:val="en-US" w:eastAsia="zh-CN"/>
        </w:rPr>
      </w:pPr>
      <w:bookmarkStart w:id="40" w:name="_Toc20890"/>
      <w:bookmarkStart w:id="41" w:name="_Toc10948"/>
      <w:r>
        <w:rPr>
          <w:rFonts w:hint="eastAsia" w:asciiTheme="minorEastAsia" w:hAnsiTheme="minorEastAsia" w:eastAsiaTheme="minorEastAsia" w:cstheme="minorEastAsia"/>
          <w:sz w:val="21"/>
          <w:szCs w:val="21"/>
          <w:lang w:val="en-US" w:eastAsia="zh-CN"/>
        </w:rPr>
        <w:t>详见采样仪器校正记录表</w:t>
      </w:r>
      <w:bookmarkEnd w:id="40"/>
      <w:bookmarkEnd w:id="41"/>
    </w:p>
    <w:p>
      <w:pPr>
        <w:pStyle w:val="2"/>
        <w:rPr>
          <w:rFonts w:hint="eastAsia" w:asciiTheme="minorEastAsia" w:hAnsiTheme="minorEastAsia" w:eastAsiaTheme="minorEastAsia" w:cstheme="minorEastAsia"/>
          <w:lang w:val="en-US" w:eastAsia="zh-CN"/>
        </w:rPr>
      </w:pPr>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2302"/>
      <w:bookmarkStart w:id="43" w:name="_Toc13672"/>
      <w:r>
        <w:rPr>
          <w:rFonts w:hint="eastAsia" w:asciiTheme="minorEastAsia" w:hAnsiTheme="minorEastAsia" w:eastAsiaTheme="minorEastAsia" w:cstheme="minorEastAsia"/>
          <w:color w:val="auto"/>
          <w:lang w:val="en-US" w:eastAsia="zh-CN"/>
        </w:rPr>
        <w:t>检测记录</w:t>
      </w:r>
      <w:bookmarkEnd w:id="42"/>
      <w:bookmarkEnd w:id="43"/>
    </w:p>
    <w:p>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详见山东华油万达化学有限公司2024年第二季度密封点检测记录</w:t>
      </w:r>
    </w:p>
    <w:p>
      <w:pPr>
        <w:rPr>
          <w:rFonts w:hint="eastAsia" w:asciiTheme="minorEastAsia" w:hAnsiTheme="minorEastAsia" w:eastAsiaTheme="minorEastAsia" w:cstheme="minorEastAsia"/>
          <w:lang w:val="en-US" w:eastAsia="zh-CN"/>
        </w:rPr>
      </w:pPr>
    </w:p>
    <w:p>
      <w:pPr>
        <w:pStyle w:val="2"/>
        <w:rPr>
          <w:rFonts w:hint="eastAsia" w:asciiTheme="minorEastAsia" w:hAnsiTheme="minorEastAsia" w:eastAsiaTheme="minorEastAsia" w:cstheme="minorEastAsia"/>
          <w:lang w:val="en-US" w:eastAsia="zh-CN"/>
        </w:rPr>
      </w:pPr>
      <w:bookmarkStart w:id="53" w:name="_GoBack"/>
      <w:bookmarkEnd w:id="53"/>
    </w:p>
    <w:p>
      <w:pPr>
        <w:rPr>
          <w:rFonts w:hint="eastAsia" w:asciiTheme="minorEastAsia" w:hAnsiTheme="minorEastAsia" w:eastAsiaTheme="minorEastAsia" w:cstheme="minorEastAsia"/>
          <w:lang w:val="en-US" w:eastAsia="zh-CN"/>
        </w:rPr>
      </w:pPr>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2760"/>
      <w:bookmarkStart w:id="45" w:name="_Toc11040"/>
      <w:bookmarkStart w:id="46" w:name="_Toc467"/>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 name="图片 2" descr="T-003设备2024-6-12_00"/>
            <wp:cNvGraphicFramePr/>
            <a:graphic xmlns:a="http://schemas.openxmlformats.org/drawingml/2006/main">
              <a:graphicData uri="http://schemas.openxmlformats.org/drawingml/2006/picture">
                <pic:pic xmlns:pic="http://schemas.openxmlformats.org/drawingml/2006/picture">
                  <pic:nvPicPr>
                    <pic:cNvPr id="2" name="图片 2" descr="T-003设备2024-6-12_0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0" name="图片 10" descr="T-003设备2024-6-12_01"/>
            <wp:cNvGraphicFramePr/>
            <a:graphic xmlns:a="http://schemas.openxmlformats.org/drawingml/2006/main">
              <a:graphicData uri="http://schemas.openxmlformats.org/drawingml/2006/picture">
                <pic:pic xmlns:pic="http://schemas.openxmlformats.org/drawingml/2006/picture">
                  <pic:nvPicPr>
                    <pic:cNvPr id="10" name="图片 10" descr="T-003设备2024-6-12_01"/>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设备2024-6-12_02"/>
            <wp:cNvGraphicFramePr/>
            <a:graphic xmlns:a="http://schemas.openxmlformats.org/drawingml/2006/main">
              <a:graphicData uri="http://schemas.openxmlformats.org/drawingml/2006/picture">
                <pic:pic xmlns:pic="http://schemas.openxmlformats.org/drawingml/2006/picture">
                  <pic:nvPicPr>
                    <pic:cNvPr id="13" name="图片 13" descr="T-003设备2024-6-12_0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8" name="图片 18" descr="T-004设备2024-6-12_00"/>
            <wp:cNvGraphicFramePr/>
            <a:graphic xmlns:a="http://schemas.openxmlformats.org/drawingml/2006/main">
              <a:graphicData uri="http://schemas.openxmlformats.org/drawingml/2006/picture">
                <pic:pic xmlns:pic="http://schemas.openxmlformats.org/drawingml/2006/picture">
                  <pic:nvPicPr>
                    <pic:cNvPr id="18" name="图片 18" descr="T-004设备2024-6-12_00"/>
                    <pic:cNvPicPr/>
                  </pic:nvPicPr>
                  <pic:blipFill>
                    <a:blip r:embed="rId21"/>
                    <a:stretch>
                      <a:fillRect/>
                    </a:stretch>
                  </pic:blipFill>
                  <pic:spPr>
                    <a:xfrm>
                      <a:off x="0" y="0"/>
                      <a:ext cx="4319905" cy="5760085"/>
                    </a:xfrm>
                    <a:prstGeom prst="rect">
                      <a:avLst/>
                    </a:prstGeom>
                  </pic:spPr>
                </pic:pic>
              </a:graphicData>
            </a:graphic>
          </wp:inline>
        </w:drawing>
      </w:r>
    </w:p>
    <w:p>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4设备2024-6-12_01"/>
            <wp:cNvGraphicFramePr/>
            <a:graphic xmlns:a="http://schemas.openxmlformats.org/drawingml/2006/main">
              <a:graphicData uri="http://schemas.openxmlformats.org/drawingml/2006/picture">
                <pic:pic xmlns:pic="http://schemas.openxmlformats.org/drawingml/2006/picture">
                  <pic:nvPicPr>
                    <pic:cNvPr id="19" name="图片 19" descr="T-004设备2024-6-12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4设备2024-6-12_02"/>
            <wp:cNvGraphicFramePr/>
            <a:graphic xmlns:a="http://schemas.openxmlformats.org/drawingml/2006/main">
              <a:graphicData uri="http://schemas.openxmlformats.org/drawingml/2006/picture">
                <pic:pic xmlns:pic="http://schemas.openxmlformats.org/drawingml/2006/picture">
                  <pic:nvPicPr>
                    <pic:cNvPr id="20" name="图片 20" descr="T-004设备2024-6-12_02"/>
                    <pic:cNvPicPr/>
                  </pic:nvPicPr>
                  <pic:blipFill>
                    <a:blip r:embed="rId23"/>
                    <a:stretch>
                      <a:fillRect/>
                    </a:stretch>
                  </pic:blipFill>
                  <pic:spPr>
                    <a:xfrm>
                      <a:off x="0" y="0"/>
                      <a:ext cx="4319905" cy="5760085"/>
                    </a:xfrm>
                    <a:prstGeom prst="rect">
                      <a:avLst/>
                    </a:prstGeom>
                  </pic:spPr>
                </pic:pic>
              </a:graphicData>
            </a:graphic>
          </wp:inline>
        </w:drawing>
      </w:r>
    </w:p>
    <w:p>
      <w:pPr>
        <w:pStyle w:val="14"/>
        <w:jc w:val="both"/>
        <w:rPr>
          <w:rFonts w:hint="eastAsia" w:asciiTheme="minorEastAsia" w:hAnsiTheme="minorEastAsia" w:eastAsiaTheme="minorEastAsia" w:cstheme="minorEastAsia"/>
          <w:lang w:val="en-US" w:eastAsia="zh-CN"/>
        </w:rPr>
      </w:pPr>
    </w:p>
    <w:p>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设备2024-6-12_00"/>
            <wp:cNvGraphicFramePr/>
            <a:graphic xmlns:a="http://schemas.openxmlformats.org/drawingml/2006/main">
              <a:graphicData uri="http://schemas.openxmlformats.org/drawingml/2006/picture">
                <pic:pic xmlns:pic="http://schemas.openxmlformats.org/drawingml/2006/picture">
                  <pic:nvPicPr>
                    <pic:cNvPr id="22" name="图片 22" descr="T-005设备2024-6-12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5设备2024-6-12_01"/>
            <wp:cNvGraphicFramePr/>
            <a:graphic xmlns:a="http://schemas.openxmlformats.org/drawingml/2006/main">
              <a:graphicData uri="http://schemas.openxmlformats.org/drawingml/2006/picture">
                <pic:pic xmlns:pic="http://schemas.openxmlformats.org/drawingml/2006/picture">
                  <pic:nvPicPr>
                    <pic:cNvPr id="23" name="图片 23" descr="T-005设备2024-6-12_01"/>
                    <pic:cNvPicPr/>
                  </pic:nvPicPr>
                  <pic:blipFill>
                    <a:blip r:embed="rId25"/>
                    <a:stretch>
                      <a:fillRect/>
                    </a:stretch>
                  </pic:blipFill>
                  <pic:spPr>
                    <a:xfrm>
                      <a:off x="0" y="0"/>
                      <a:ext cx="4319905" cy="5760085"/>
                    </a:xfrm>
                    <a:prstGeom prst="rect">
                      <a:avLst/>
                    </a:prstGeom>
                  </pic:spPr>
                </pic:pic>
              </a:graphicData>
            </a:graphic>
          </wp:inline>
        </w:drawing>
      </w:r>
    </w:p>
    <w:p>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4" name="图片 24" descr="T-005设备2024-6-12_02"/>
            <wp:cNvGraphicFramePr/>
            <a:graphic xmlns:a="http://schemas.openxmlformats.org/drawingml/2006/main">
              <a:graphicData uri="http://schemas.openxmlformats.org/drawingml/2006/picture">
                <pic:pic xmlns:pic="http://schemas.openxmlformats.org/drawingml/2006/picture">
                  <pic:nvPicPr>
                    <pic:cNvPr id="24" name="图片 24" descr="T-005设备2024-6-12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手持气象站2024-6-12_00"/>
            <wp:cNvGraphicFramePr/>
            <a:graphic xmlns:a="http://schemas.openxmlformats.org/drawingml/2006/main">
              <a:graphicData uri="http://schemas.openxmlformats.org/drawingml/2006/picture">
                <pic:pic xmlns:pic="http://schemas.openxmlformats.org/drawingml/2006/picture">
                  <pic:nvPicPr>
                    <pic:cNvPr id="25" name="图片 25" descr="手持气象站2024-6-12_00"/>
                    <pic:cNvPicPr/>
                  </pic:nvPicPr>
                  <pic:blipFill>
                    <a:blip r:embed="rId27"/>
                    <a:stretch>
                      <a:fillRect/>
                    </a:stretch>
                  </pic:blipFill>
                  <pic:spPr>
                    <a:xfrm>
                      <a:off x="0" y="0"/>
                      <a:ext cx="4319905" cy="5760085"/>
                    </a:xfrm>
                    <a:prstGeom prst="rect">
                      <a:avLst/>
                    </a:prstGeom>
                  </pic:spPr>
                </pic:pic>
              </a:graphicData>
            </a:graphic>
          </wp:inline>
        </w:drawing>
      </w:r>
    </w:p>
    <w:p>
      <w:pPr>
        <w:pStyle w:val="14"/>
        <w:jc w:val="both"/>
        <w:rPr>
          <w:rFonts w:hint="eastAsia" w:asciiTheme="minorEastAsia" w:hAnsiTheme="minorEastAsia" w:eastAsiaTheme="minorEastAsia" w:cstheme="minorEastAsia"/>
          <w:lang w:val="en-US" w:eastAsia="zh-CN"/>
        </w:rPr>
      </w:pPr>
    </w:p>
    <w:p>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手持气象站2024-6-12_01"/>
            <wp:cNvGraphicFramePr/>
            <a:graphic xmlns:a="http://schemas.openxmlformats.org/drawingml/2006/main">
              <a:graphicData uri="http://schemas.openxmlformats.org/drawingml/2006/picture">
                <pic:pic xmlns:pic="http://schemas.openxmlformats.org/drawingml/2006/picture">
                  <pic:nvPicPr>
                    <pic:cNvPr id="28" name="图片 28" descr="手持气象站2024-6-12_0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手持气象站2024-6-12_02"/>
            <wp:cNvGraphicFramePr/>
            <a:graphic xmlns:a="http://schemas.openxmlformats.org/drawingml/2006/main">
              <a:graphicData uri="http://schemas.openxmlformats.org/drawingml/2006/picture">
                <pic:pic xmlns:pic="http://schemas.openxmlformats.org/drawingml/2006/picture">
                  <pic:nvPicPr>
                    <pic:cNvPr id="29" name="图片 29" descr="手持气象站2024-6-12_02"/>
                    <pic:cNvPicPr/>
                  </pic:nvPicPr>
                  <pic:blipFill>
                    <a:blip r:embed="rId29"/>
                    <a:stretch>
                      <a:fillRect/>
                    </a:stretch>
                  </pic:blipFill>
                  <pic:spPr>
                    <a:xfrm>
                      <a:off x="0" y="0"/>
                      <a:ext cx="4319905" cy="5760085"/>
                    </a:xfrm>
                    <a:prstGeom prst="rect">
                      <a:avLst/>
                    </a:prstGeom>
                  </pic:spPr>
                </pic:pic>
              </a:graphicData>
            </a:graphic>
          </wp:inline>
        </w:drawing>
      </w:r>
    </w:p>
    <w:p>
      <w:pPr>
        <w:pStyle w:val="14"/>
        <w:jc w:val="both"/>
        <w:rPr>
          <w:rFonts w:hint="eastAsia" w:asciiTheme="minorEastAsia" w:hAnsiTheme="minorEastAsia" w:eastAsiaTheme="minorEastAsia" w:cstheme="minorEastAsia"/>
          <w:lang w:val="en-US" w:eastAsia="zh-CN"/>
        </w:rPr>
      </w:pPr>
    </w:p>
    <w:p>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0气2024-3-2_00"/>
            <wp:cNvGraphicFramePr/>
            <a:graphic xmlns:a="http://schemas.openxmlformats.org/drawingml/2006/main">
              <a:graphicData uri="http://schemas.openxmlformats.org/drawingml/2006/picture">
                <pic:pic xmlns:pic="http://schemas.openxmlformats.org/drawingml/2006/picture">
                  <pic:nvPicPr>
                    <pic:cNvPr id="30" name="图片 30" descr="0气2024-3-2_00"/>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0气2024-3-2_01"/>
            <wp:cNvGraphicFramePr/>
            <a:graphic xmlns:a="http://schemas.openxmlformats.org/drawingml/2006/main">
              <a:graphicData uri="http://schemas.openxmlformats.org/drawingml/2006/picture">
                <pic:pic xmlns:pic="http://schemas.openxmlformats.org/drawingml/2006/picture">
                  <pic:nvPicPr>
                    <pic:cNvPr id="31" name="图片 31" descr="0气2024-3-2_01"/>
                    <pic:cNvPicPr/>
                  </pic:nvPicPr>
                  <pic:blipFill>
                    <a:blip r:embed="rId31"/>
                    <a:stretch>
                      <a:fillRect/>
                    </a:stretch>
                  </pic:blipFill>
                  <pic:spPr>
                    <a:xfrm>
                      <a:off x="0" y="0"/>
                      <a:ext cx="4319905" cy="5760085"/>
                    </a:xfrm>
                    <a:prstGeom prst="rect">
                      <a:avLst/>
                    </a:prstGeom>
                  </pic:spPr>
                </pic:pic>
              </a:graphicData>
            </a:graphic>
          </wp:inline>
        </w:drawing>
      </w:r>
    </w:p>
    <w:p>
      <w:pPr>
        <w:pStyle w:val="14"/>
        <w:jc w:val="both"/>
        <w:rPr>
          <w:rFonts w:hint="eastAsia" w:asciiTheme="minorEastAsia" w:hAnsiTheme="minorEastAsia" w:eastAsiaTheme="minorEastAsia" w:cstheme="minorEastAsia"/>
          <w:lang w:val="en-US" w:eastAsia="zh-CN"/>
        </w:rPr>
      </w:pPr>
    </w:p>
    <w:p>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4-6-19_00"/>
            <wp:cNvGraphicFramePr/>
            <a:graphic xmlns:a="http://schemas.openxmlformats.org/drawingml/2006/main">
              <a:graphicData uri="http://schemas.openxmlformats.org/drawingml/2006/picture">
                <pic:pic xmlns:pic="http://schemas.openxmlformats.org/drawingml/2006/picture">
                  <pic:nvPicPr>
                    <pic:cNvPr id="32" name="图片 32" descr="200标气2024-6-19_00"/>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200标气2024-6-19_01"/>
            <wp:cNvGraphicFramePr/>
            <a:graphic xmlns:a="http://schemas.openxmlformats.org/drawingml/2006/main">
              <a:graphicData uri="http://schemas.openxmlformats.org/drawingml/2006/picture">
                <pic:pic xmlns:pic="http://schemas.openxmlformats.org/drawingml/2006/picture">
                  <pic:nvPicPr>
                    <pic:cNvPr id="33" name="图片 33" descr="200标气2024-6-19_01"/>
                    <pic:cNvPicPr/>
                  </pic:nvPicPr>
                  <pic:blipFill>
                    <a:blip r:embed="rId33"/>
                    <a:stretch>
                      <a:fillRect/>
                    </a:stretch>
                  </pic:blipFill>
                  <pic:spPr>
                    <a:xfrm>
                      <a:off x="0" y="0"/>
                      <a:ext cx="4319905" cy="5760085"/>
                    </a:xfrm>
                    <a:prstGeom prst="rect">
                      <a:avLst/>
                    </a:prstGeom>
                  </pic:spPr>
                </pic:pic>
              </a:graphicData>
            </a:graphic>
          </wp:inline>
        </w:drawing>
      </w:r>
    </w:p>
    <w:p>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1标气2024-6-19_00"/>
            <wp:cNvGraphicFramePr/>
            <a:graphic xmlns:a="http://schemas.openxmlformats.org/drawingml/2006/main">
              <a:graphicData uri="http://schemas.openxmlformats.org/drawingml/2006/picture">
                <pic:pic xmlns:pic="http://schemas.openxmlformats.org/drawingml/2006/picture">
                  <pic:nvPicPr>
                    <pic:cNvPr id="34" name="图片 34" descr="501标气2024-6-19_00"/>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501标气2024-6-19_01"/>
            <wp:cNvGraphicFramePr/>
            <a:graphic xmlns:a="http://schemas.openxmlformats.org/drawingml/2006/main">
              <a:graphicData uri="http://schemas.openxmlformats.org/drawingml/2006/picture">
                <pic:pic xmlns:pic="http://schemas.openxmlformats.org/drawingml/2006/picture">
                  <pic:nvPicPr>
                    <pic:cNvPr id="35" name="图片 35" descr="501标气2024-6-19_01"/>
                    <pic:cNvPicPr/>
                  </pic:nvPicPr>
                  <pic:blipFill>
                    <a:blip r:embed="rId35"/>
                    <a:stretch>
                      <a:fillRect/>
                    </a:stretch>
                  </pic:blipFill>
                  <pic:spPr>
                    <a:xfrm>
                      <a:off x="0" y="0"/>
                      <a:ext cx="4319905" cy="5760085"/>
                    </a:xfrm>
                    <a:prstGeom prst="rect">
                      <a:avLst/>
                    </a:prstGeom>
                  </pic:spPr>
                </pic:pic>
              </a:graphicData>
            </a:graphic>
          </wp:inline>
        </w:drawing>
      </w:r>
    </w:p>
    <w:p>
      <w:pPr>
        <w:pStyle w:val="14"/>
        <w:jc w:val="both"/>
        <w:rPr>
          <w:rFonts w:hint="eastAsia" w:asciiTheme="minorEastAsia" w:hAnsiTheme="minorEastAsia" w:eastAsiaTheme="minorEastAsia" w:cstheme="minorEastAsia"/>
          <w:lang w:val="en-US" w:eastAsia="zh-CN"/>
        </w:rPr>
      </w:pPr>
    </w:p>
    <w:p>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10000标气2024-6-19_00"/>
            <wp:cNvGraphicFramePr/>
            <a:graphic xmlns:a="http://schemas.openxmlformats.org/drawingml/2006/main">
              <a:graphicData uri="http://schemas.openxmlformats.org/drawingml/2006/picture">
                <pic:pic xmlns:pic="http://schemas.openxmlformats.org/drawingml/2006/picture">
                  <pic:nvPicPr>
                    <pic:cNvPr id="36" name="图片 36" descr="10000标气2024-6-19_00"/>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10000标气2024-6-19_01"/>
            <wp:cNvGraphicFramePr/>
            <a:graphic xmlns:a="http://schemas.openxmlformats.org/drawingml/2006/main">
              <a:graphicData uri="http://schemas.openxmlformats.org/drawingml/2006/picture">
                <pic:pic xmlns:pic="http://schemas.openxmlformats.org/drawingml/2006/picture">
                  <pic:nvPicPr>
                    <pic:cNvPr id="37" name="图片 37" descr="10000标气2024-6-19_01"/>
                    <pic:cNvPicPr/>
                  </pic:nvPicPr>
                  <pic:blipFill>
                    <a:blip r:embed="rId37"/>
                    <a:stretch>
                      <a:fillRect/>
                    </a:stretch>
                  </pic:blipFill>
                  <pic:spPr>
                    <a:xfrm>
                      <a:off x="0" y="0"/>
                      <a:ext cx="4319905" cy="5760085"/>
                    </a:xfrm>
                    <a:prstGeom prst="rect">
                      <a:avLst/>
                    </a:prstGeom>
                  </pic:spPr>
                </pic:pic>
              </a:graphicData>
            </a:graphic>
          </wp:inline>
        </w:drawing>
      </w:r>
    </w:p>
    <w:p>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19836"/>
      <w:r>
        <w:rPr>
          <w:rFonts w:hint="eastAsia" w:asciiTheme="minorEastAsia" w:hAnsiTheme="minorEastAsia" w:eastAsiaTheme="minorEastAsia" w:cstheme="minorEastAsia"/>
          <w:color w:val="auto"/>
          <w:sz w:val="28"/>
          <w:szCs w:val="28"/>
          <w:lang w:val="en-US" w:eastAsia="zh-CN"/>
        </w:rPr>
        <w:t>9.现场检测照片</w:t>
      </w:r>
      <w:bookmarkEnd w:id="47"/>
      <w:bookmarkEnd w:id="48"/>
    </w:p>
    <w:p>
      <w:pPr>
        <w:jc w:val="both"/>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400040"/>
            <wp:effectExtent l="0" t="0" r="4445" b="10160"/>
            <wp:docPr id="11" name="图片 11" descr="04c8aaf241e22c87494816f43cf65ba"/>
            <wp:cNvGraphicFramePr/>
            <a:graphic xmlns:a="http://schemas.openxmlformats.org/drawingml/2006/main">
              <a:graphicData uri="http://schemas.openxmlformats.org/drawingml/2006/picture">
                <pic:pic xmlns:pic="http://schemas.openxmlformats.org/drawingml/2006/picture">
                  <pic:nvPicPr>
                    <pic:cNvPr id="11" name="图片 11" descr="04c8aaf241e22c87494816f43cf65ba"/>
                    <pic:cNvPicPr/>
                  </pic:nvPicPr>
                  <pic:blipFill>
                    <a:blip r:embed="rId38"/>
                    <a:stretch>
                      <a:fillRect/>
                    </a:stretch>
                  </pic:blipFill>
                  <pic:spPr>
                    <a:xfrm>
                      <a:off x="0" y="0"/>
                      <a:ext cx="4319905" cy="5400040"/>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400040"/>
            <wp:effectExtent l="0" t="0" r="4445" b="10160"/>
            <wp:docPr id="12" name="图片 12" descr="15e7b0a9cd90980ba4e57ea4973b3af"/>
            <wp:cNvGraphicFramePr/>
            <a:graphic xmlns:a="http://schemas.openxmlformats.org/drawingml/2006/main">
              <a:graphicData uri="http://schemas.openxmlformats.org/drawingml/2006/picture">
                <pic:pic xmlns:pic="http://schemas.openxmlformats.org/drawingml/2006/picture">
                  <pic:nvPicPr>
                    <pic:cNvPr id="12" name="图片 12" descr="15e7b0a9cd90980ba4e57ea4973b3af"/>
                    <pic:cNvPicPr/>
                  </pic:nvPicPr>
                  <pic:blipFill>
                    <a:blip r:embed="rId39"/>
                    <a:stretch>
                      <a:fillRect/>
                    </a:stretch>
                  </pic:blipFill>
                  <pic:spPr>
                    <a:xfrm>
                      <a:off x="0" y="0"/>
                      <a:ext cx="4319905" cy="5400040"/>
                    </a:xfrm>
                    <a:prstGeom prst="rect">
                      <a:avLst/>
                    </a:prstGeom>
                  </pic:spPr>
                </pic:pic>
              </a:graphicData>
            </a:graphic>
          </wp:inline>
        </w:drawing>
      </w:r>
    </w:p>
    <w:p>
      <w:pPr>
        <w:pStyle w:val="14"/>
        <w:jc w:val="both"/>
        <w:rPr>
          <w:rFonts w:hint="eastAsia" w:asciiTheme="minorEastAsia" w:hAnsiTheme="minorEastAsia" w:eastAsiaTheme="minorEastAsia" w:cstheme="minorEastAsia"/>
          <w:lang w:val="en-US" w:eastAsia="zh-CN"/>
        </w:rPr>
      </w:pPr>
    </w:p>
    <w:p>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30699"/>
      <w:bookmarkStart w:id="50" w:name="_Toc23812"/>
      <w:bookmarkStart w:id="51" w:name="_Toc4993"/>
      <w:bookmarkStart w:id="52" w:name="_Toc18828"/>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pPr>
        <w:rPr>
          <w:rFonts w:hint="eastAsia" w:asciiTheme="minorEastAsia" w:hAnsiTheme="minorEastAsia" w:eastAsiaTheme="minorEastAsia" w:cstheme="minorEastAsia"/>
          <w:sz w:val="21"/>
          <w:szCs w:val="21"/>
          <w:lang w:val="en-US" w:eastAsia="zh-CN"/>
        </w:rPr>
      </w:pPr>
    </w:p>
    <w:p>
      <w:pPr>
        <w:pStyle w:val="14"/>
        <w:jc w:val="both"/>
        <w:rPr>
          <w:rFonts w:hint="eastAsia" w:asciiTheme="minorEastAsia" w:hAnsiTheme="minorEastAsia" w:eastAsiaTheme="minorEastAsia" w:cstheme="minorEastAsia"/>
        </w:rPr>
      </w:pPr>
    </w:p>
    <w:p>
      <w:pPr>
        <w:pStyle w:val="14"/>
        <w:jc w:val="both"/>
        <w:rPr>
          <w:rFonts w:hint="eastAsia" w:asciiTheme="minorEastAsia" w:hAnsiTheme="minorEastAsia" w:eastAsiaTheme="minorEastAsia" w:cstheme="minorEastAsia"/>
        </w:rPr>
      </w:pPr>
    </w:p>
    <w:p>
      <w:pPr>
        <w:pStyle w:val="14"/>
        <w:jc w:val="both"/>
        <w:rPr>
          <w:rFonts w:hint="eastAsia" w:asciiTheme="minorEastAsia" w:hAnsiTheme="minorEastAsia" w:eastAsiaTheme="minorEastAsia" w:cstheme="minorEastAsia"/>
        </w:rPr>
      </w:pPr>
    </w:p>
    <w:p>
      <w:pPr>
        <w:pStyle w:val="14"/>
        <w:jc w:val="both"/>
        <w:rPr>
          <w:rFonts w:hint="eastAsia" w:asciiTheme="minorEastAsia" w:hAnsiTheme="minorEastAsia" w:eastAsiaTheme="minorEastAsia" w:cstheme="minorEastAsia"/>
        </w:rPr>
      </w:pPr>
    </w:p>
    <w:p>
      <w:pPr>
        <w:pStyle w:val="14"/>
        <w:jc w:val="both"/>
        <w:rPr>
          <w:rFonts w:hint="eastAsia" w:asciiTheme="minorEastAsia" w:hAnsiTheme="minorEastAsia" w:eastAsiaTheme="minorEastAsia" w:cstheme="minorEastAsia"/>
        </w:rPr>
      </w:pPr>
    </w:p>
    <w:p>
      <w:pPr>
        <w:pStyle w:val="14"/>
        <w:jc w:val="both"/>
        <w:rPr>
          <w:rFonts w:hint="eastAsia" w:asciiTheme="minorEastAsia" w:hAnsiTheme="minorEastAsia" w:eastAsiaTheme="minorEastAsia" w:cstheme="minorEastAsia"/>
        </w:rPr>
      </w:pPr>
    </w:p>
    <w:p>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0"/>
      </w:pBdr>
      <w:rPr>
        <w:rFonts w:hint="eastAsia"/>
        <w:lang w:val="en-US" w:eastAsia="zh-CN"/>
      </w:rPr>
    </w:pPr>
  </w:p>
  <w:p>
    <w:pPr>
      <w:pStyle w:val="7"/>
      <w:rPr>
        <w:rFonts w:hint="default"/>
        <w:lang w:val="en-US" w:eastAsia="zh-CN"/>
      </w:rP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宋体"/>
        <w:lang w:eastAsia="zh-CN"/>
      </w:rPr>
    </w:pPr>
    <w:r>
      <w:rPr>
        <w:rFonts w:hint="eastAsia"/>
        <w:lang w:eastAsia="zh-CN"/>
      </w:rPr>
      <w:t>地址：山东省东营市开发区运河路661号世誉建材广场1幢434号</w:t>
    </w:r>
  </w:p>
  <w:p>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8937"/>
        <w:tab w:val="clear" w:pos="8306"/>
      </w:tabs>
      <w:ind w:firstLine="180" w:firstLineChars="100"/>
      <w:rPr>
        <w:rFonts w:hint="eastAsia" w:ascii="宋体" w:hAnsi="宋体" w:eastAsia="宋体" w:cs="宋体"/>
        <w:lang w:val="en-US"/>
      </w:rPr>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v:textbox>
            </v:shape>
          </w:pict>
        </mc:Fallback>
      </mc:AlternateContent>
    </w:r>
    <w:r>
      <w:rPr>
        <w:rFonts w:hint="eastAsia" w:ascii="宋体" w:hAnsi="宋体" w:eastAsia="宋体" w:cs="宋体"/>
      </w:rPr>
      <w:t>地址：</w:t>
    </w:r>
    <w:r>
      <w:rPr>
        <w:rFonts w:hint="eastAsia" w:ascii="宋体" w:hAnsi="宋体" w:eastAsia="宋体" w:cs="宋体"/>
        <w:lang w:val="en-US" w:eastAsia="zh-CN"/>
      </w:rPr>
      <w:t>山东省东营市开发区运河路661号世誉建材广场1幢434号</w:t>
    </w:r>
    <w:r>
      <w:rPr>
        <w:rFonts w:hint="eastAsia" w:ascii="宋体" w:hAnsi="宋体" w:cs="宋体"/>
        <w:lang w:val="en-US" w:eastAsia="zh-CN"/>
      </w:rPr>
      <w:tab/>
    </w:r>
  </w:p>
  <w:p>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1312"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报告编号：（E检）字（2024）0018号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2336"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报告编号：（E检）字（2024）0018号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4384"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7456"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报告编号：（E检）字（2024）0018号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8480" behindDoc="0" locked="0" layoutInCell="1" allowOverlap="1">
          <wp:simplePos x="0" y="0"/>
          <wp:positionH relativeFrom="column">
            <wp:posOffset>53975</wp:posOffset>
          </wp:positionH>
          <wp:positionV relativeFrom="paragraph">
            <wp:posOffset>-9525</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报告编号：（E检）字（2024）0018号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C14286"/>
    <w:rsid w:val="00E30FAC"/>
    <w:rsid w:val="00F50D1A"/>
    <w:rsid w:val="017B7436"/>
    <w:rsid w:val="01DD106E"/>
    <w:rsid w:val="02477318"/>
    <w:rsid w:val="030B47EA"/>
    <w:rsid w:val="030E7E36"/>
    <w:rsid w:val="03A964DC"/>
    <w:rsid w:val="03B1713F"/>
    <w:rsid w:val="03CC21CB"/>
    <w:rsid w:val="040A2C1E"/>
    <w:rsid w:val="041D47D5"/>
    <w:rsid w:val="0430275A"/>
    <w:rsid w:val="0449381C"/>
    <w:rsid w:val="04781A0B"/>
    <w:rsid w:val="04FF3EDA"/>
    <w:rsid w:val="05453FE3"/>
    <w:rsid w:val="054A1AE0"/>
    <w:rsid w:val="056D0012"/>
    <w:rsid w:val="057236C9"/>
    <w:rsid w:val="058A5256"/>
    <w:rsid w:val="058F525E"/>
    <w:rsid w:val="059706A5"/>
    <w:rsid w:val="05E277B3"/>
    <w:rsid w:val="05F61781"/>
    <w:rsid w:val="060519C4"/>
    <w:rsid w:val="0619721E"/>
    <w:rsid w:val="06565D7C"/>
    <w:rsid w:val="0673692E"/>
    <w:rsid w:val="068C79F0"/>
    <w:rsid w:val="069468A4"/>
    <w:rsid w:val="06954AF6"/>
    <w:rsid w:val="06AC0092"/>
    <w:rsid w:val="06BA1995"/>
    <w:rsid w:val="06EB0BBA"/>
    <w:rsid w:val="070240B9"/>
    <w:rsid w:val="07397B77"/>
    <w:rsid w:val="074E2EF7"/>
    <w:rsid w:val="07966D78"/>
    <w:rsid w:val="07A56FBB"/>
    <w:rsid w:val="07DC17CB"/>
    <w:rsid w:val="07EA70C4"/>
    <w:rsid w:val="081558DE"/>
    <w:rsid w:val="08292466"/>
    <w:rsid w:val="08386081"/>
    <w:rsid w:val="087370B9"/>
    <w:rsid w:val="0889068B"/>
    <w:rsid w:val="08955281"/>
    <w:rsid w:val="08F71A98"/>
    <w:rsid w:val="093C394F"/>
    <w:rsid w:val="09567987"/>
    <w:rsid w:val="095E3600"/>
    <w:rsid w:val="09842C00"/>
    <w:rsid w:val="0992531D"/>
    <w:rsid w:val="09BC683E"/>
    <w:rsid w:val="0A0C1099"/>
    <w:rsid w:val="0A0E066B"/>
    <w:rsid w:val="0A23066B"/>
    <w:rsid w:val="0A367631"/>
    <w:rsid w:val="0A4800D1"/>
    <w:rsid w:val="0A525562"/>
    <w:rsid w:val="0A621193"/>
    <w:rsid w:val="0AA10FBC"/>
    <w:rsid w:val="0AA7304A"/>
    <w:rsid w:val="0AD96F7B"/>
    <w:rsid w:val="0B77110B"/>
    <w:rsid w:val="0B971310"/>
    <w:rsid w:val="0BA650B0"/>
    <w:rsid w:val="0BF640BE"/>
    <w:rsid w:val="0C112E71"/>
    <w:rsid w:val="0C232BA4"/>
    <w:rsid w:val="0C4A1EDF"/>
    <w:rsid w:val="0C767FF5"/>
    <w:rsid w:val="0C891501"/>
    <w:rsid w:val="0D1D3A97"/>
    <w:rsid w:val="0D714BA2"/>
    <w:rsid w:val="0DA6583B"/>
    <w:rsid w:val="0DFE574F"/>
    <w:rsid w:val="0E1A1D85"/>
    <w:rsid w:val="0E232634"/>
    <w:rsid w:val="0E3E4562"/>
    <w:rsid w:val="0E401CB6"/>
    <w:rsid w:val="0E935776"/>
    <w:rsid w:val="0E9953A0"/>
    <w:rsid w:val="0E9E29B6"/>
    <w:rsid w:val="0EC35F79"/>
    <w:rsid w:val="0EDA3140"/>
    <w:rsid w:val="0EF2787B"/>
    <w:rsid w:val="0F233AE0"/>
    <w:rsid w:val="0F3A26DF"/>
    <w:rsid w:val="0F490B74"/>
    <w:rsid w:val="0F514529"/>
    <w:rsid w:val="0F7D5C51"/>
    <w:rsid w:val="0FF705D0"/>
    <w:rsid w:val="0FFC5D0A"/>
    <w:rsid w:val="1003335A"/>
    <w:rsid w:val="106F460A"/>
    <w:rsid w:val="10B95885"/>
    <w:rsid w:val="10C5247C"/>
    <w:rsid w:val="10D96240"/>
    <w:rsid w:val="110875A2"/>
    <w:rsid w:val="112476E0"/>
    <w:rsid w:val="113B273E"/>
    <w:rsid w:val="11456B95"/>
    <w:rsid w:val="114F7F97"/>
    <w:rsid w:val="11CB1D14"/>
    <w:rsid w:val="11D566EF"/>
    <w:rsid w:val="11F12DFD"/>
    <w:rsid w:val="121A67F7"/>
    <w:rsid w:val="124949E7"/>
    <w:rsid w:val="1278474C"/>
    <w:rsid w:val="13180558"/>
    <w:rsid w:val="135632E1"/>
    <w:rsid w:val="13B011C1"/>
    <w:rsid w:val="140935EF"/>
    <w:rsid w:val="142651EA"/>
    <w:rsid w:val="1489456F"/>
    <w:rsid w:val="149203B9"/>
    <w:rsid w:val="14F1190D"/>
    <w:rsid w:val="150B2427"/>
    <w:rsid w:val="15A1113A"/>
    <w:rsid w:val="15C70A44"/>
    <w:rsid w:val="15EC04AB"/>
    <w:rsid w:val="16024CD6"/>
    <w:rsid w:val="16445BF1"/>
    <w:rsid w:val="164C74A3"/>
    <w:rsid w:val="166103AE"/>
    <w:rsid w:val="166D339A"/>
    <w:rsid w:val="17085663"/>
    <w:rsid w:val="171E6442"/>
    <w:rsid w:val="17F51899"/>
    <w:rsid w:val="18350408"/>
    <w:rsid w:val="18B20FEC"/>
    <w:rsid w:val="18BC4164"/>
    <w:rsid w:val="19017DC9"/>
    <w:rsid w:val="194505FE"/>
    <w:rsid w:val="19A60327"/>
    <w:rsid w:val="19AA0461"/>
    <w:rsid w:val="19D02EB5"/>
    <w:rsid w:val="19D21766"/>
    <w:rsid w:val="19F569FF"/>
    <w:rsid w:val="1A584E84"/>
    <w:rsid w:val="1A5F2FF9"/>
    <w:rsid w:val="1A643EB5"/>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D0B56BA"/>
    <w:rsid w:val="1D205B35"/>
    <w:rsid w:val="1D2C3DD4"/>
    <w:rsid w:val="1D4B5AB7"/>
    <w:rsid w:val="1D990F18"/>
    <w:rsid w:val="1DBD4DAD"/>
    <w:rsid w:val="1E340C41"/>
    <w:rsid w:val="1E7A2AF8"/>
    <w:rsid w:val="1F82026C"/>
    <w:rsid w:val="1F971487"/>
    <w:rsid w:val="1FAB0A8F"/>
    <w:rsid w:val="1FC3227C"/>
    <w:rsid w:val="1FCA4426"/>
    <w:rsid w:val="1FE76BB0"/>
    <w:rsid w:val="200A0535"/>
    <w:rsid w:val="20261010"/>
    <w:rsid w:val="20531852"/>
    <w:rsid w:val="20696B69"/>
    <w:rsid w:val="206C2B72"/>
    <w:rsid w:val="209D0D1F"/>
    <w:rsid w:val="20B147CB"/>
    <w:rsid w:val="21020B82"/>
    <w:rsid w:val="210E1EC1"/>
    <w:rsid w:val="214C591E"/>
    <w:rsid w:val="21763A3F"/>
    <w:rsid w:val="21B96E8B"/>
    <w:rsid w:val="21F42BC1"/>
    <w:rsid w:val="21F474E9"/>
    <w:rsid w:val="220426D8"/>
    <w:rsid w:val="22546AB4"/>
    <w:rsid w:val="225607C0"/>
    <w:rsid w:val="22A50F8D"/>
    <w:rsid w:val="22F24386"/>
    <w:rsid w:val="22FF1E77"/>
    <w:rsid w:val="23244DE0"/>
    <w:rsid w:val="23362D65"/>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C3185"/>
    <w:rsid w:val="267C4F33"/>
    <w:rsid w:val="268362C1"/>
    <w:rsid w:val="26873A72"/>
    <w:rsid w:val="27717C9E"/>
    <w:rsid w:val="28302479"/>
    <w:rsid w:val="28A47D06"/>
    <w:rsid w:val="28E05C4D"/>
    <w:rsid w:val="290032A5"/>
    <w:rsid w:val="295C2DFA"/>
    <w:rsid w:val="29711695"/>
    <w:rsid w:val="29752839"/>
    <w:rsid w:val="29BB3FC4"/>
    <w:rsid w:val="29F6324E"/>
    <w:rsid w:val="2A836E67"/>
    <w:rsid w:val="2AB32EED"/>
    <w:rsid w:val="2ACE1AD5"/>
    <w:rsid w:val="2AE00186"/>
    <w:rsid w:val="2AEA2DB3"/>
    <w:rsid w:val="2AFB3CEE"/>
    <w:rsid w:val="2B004385"/>
    <w:rsid w:val="2BCF7241"/>
    <w:rsid w:val="2C096436"/>
    <w:rsid w:val="2C16267E"/>
    <w:rsid w:val="2C1A76C8"/>
    <w:rsid w:val="2C931796"/>
    <w:rsid w:val="2CB2067E"/>
    <w:rsid w:val="2CDA6E57"/>
    <w:rsid w:val="2CE37ABA"/>
    <w:rsid w:val="2D6C1A7E"/>
    <w:rsid w:val="2D7921CC"/>
    <w:rsid w:val="2D8D3ECA"/>
    <w:rsid w:val="2DD92C6B"/>
    <w:rsid w:val="2E951288"/>
    <w:rsid w:val="2EF53AD4"/>
    <w:rsid w:val="2EF9052C"/>
    <w:rsid w:val="2F695F55"/>
    <w:rsid w:val="2F990904"/>
    <w:rsid w:val="2F995D9A"/>
    <w:rsid w:val="2F9A3C90"/>
    <w:rsid w:val="2FB60690"/>
    <w:rsid w:val="301D32E3"/>
    <w:rsid w:val="30281C88"/>
    <w:rsid w:val="30756068"/>
    <w:rsid w:val="309E0C6F"/>
    <w:rsid w:val="30E74DBD"/>
    <w:rsid w:val="30EE7022"/>
    <w:rsid w:val="31052B89"/>
    <w:rsid w:val="310C0053"/>
    <w:rsid w:val="312468F3"/>
    <w:rsid w:val="312D1C4B"/>
    <w:rsid w:val="31570C88"/>
    <w:rsid w:val="31603DCF"/>
    <w:rsid w:val="317E06B5"/>
    <w:rsid w:val="31B71515"/>
    <w:rsid w:val="31C60C22"/>
    <w:rsid w:val="31E06CBE"/>
    <w:rsid w:val="31E7004C"/>
    <w:rsid w:val="31ED3189"/>
    <w:rsid w:val="320751D0"/>
    <w:rsid w:val="322B163D"/>
    <w:rsid w:val="323668DE"/>
    <w:rsid w:val="32425283"/>
    <w:rsid w:val="32A43E12"/>
    <w:rsid w:val="32D43E3A"/>
    <w:rsid w:val="32E7407C"/>
    <w:rsid w:val="33727DEA"/>
    <w:rsid w:val="339935C8"/>
    <w:rsid w:val="33C61769"/>
    <w:rsid w:val="34482EEA"/>
    <w:rsid w:val="345B087E"/>
    <w:rsid w:val="3467447F"/>
    <w:rsid w:val="347E631A"/>
    <w:rsid w:val="354E03E2"/>
    <w:rsid w:val="35512E0C"/>
    <w:rsid w:val="35814314"/>
    <w:rsid w:val="35A4650F"/>
    <w:rsid w:val="35C3492C"/>
    <w:rsid w:val="35FE7713"/>
    <w:rsid w:val="360410B6"/>
    <w:rsid w:val="3632560E"/>
    <w:rsid w:val="370B70A1"/>
    <w:rsid w:val="371B2546"/>
    <w:rsid w:val="37D55DF2"/>
    <w:rsid w:val="37E1553E"/>
    <w:rsid w:val="38044D88"/>
    <w:rsid w:val="383970A0"/>
    <w:rsid w:val="387168C2"/>
    <w:rsid w:val="38B976BC"/>
    <w:rsid w:val="38CD161E"/>
    <w:rsid w:val="392408E0"/>
    <w:rsid w:val="39322124"/>
    <w:rsid w:val="39395C4E"/>
    <w:rsid w:val="39B5307B"/>
    <w:rsid w:val="39D4535A"/>
    <w:rsid w:val="39D72754"/>
    <w:rsid w:val="3A137505"/>
    <w:rsid w:val="3A4A5247"/>
    <w:rsid w:val="3AED7D56"/>
    <w:rsid w:val="3B00217F"/>
    <w:rsid w:val="3B1D2D68"/>
    <w:rsid w:val="3B4C2CCE"/>
    <w:rsid w:val="3B552CD8"/>
    <w:rsid w:val="3B57750E"/>
    <w:rsid w:val="3B8D3E99"/>
    <w:rsid w:val="3BC76D3C"/>
    <w:rsid w:val="3C0D6901"/>
    <w:rsid w:val="3C1C7477"/>
    <w:rsid w:val="3C265C15"/>
    <w:rsid w:val="3C616C4D"/>
    <w:rsid w:val="3C7544A7"/>
    <w:rsid w:val="3C8E5F0B"/>
    <w:rsid w:val="3CA2575E"/>
    <w:rsid w:val="3CC64D02"/>
    <w:rsid w:val="3CC877B6"/>
    <w:rsid w:val="3CF143A5"/>
    <w:rsid w:val="3CF93D85"/>
    <w:rsid w:val="3CFB3514"/>
    <w:rsid w:val="3D0465B1"/>
    <w:rsid w:val="3D0A4BEF"/>
    <w:rsid w:val="3D197528"/>
    <w:rsid w:val="3DD5344F"/>
    <w:rsid w:val="3DD96B8F"/>
    <w:rsid w:val="3E1644A1"/>
    <w:rsid w:val="3E274038"/>
    <w:rsid w:val="3E7F33BB"/>
    <w:rsid w:val="3EA82E54"/>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B45A71"/>
    <w:rsid w:val="41BB295C"/>
    <w:rsid w:val="41C061C4"/>
    <w:rsid w:val="41C21F3C"/>
    <w:rsid w:val="42010CB6"/>
    <w:rsid w:val="42206C63"/>
    <w:rsid w:val="423F533B"/>
    <w:rsid w:val="425A03C6"/>
    <w:rsid w:val="42DE0FF8"/>
    <w:rsid w:val="43104F29"/>
    <w:rsid w:val="43123EBE"/>
    <w:rsid w:val="43713C1A"/>
    <w:rsid w:val="43884ABF"/>
    <w:rsid w:val="439E42E3"/>
    <w:rsid w:val="43B34232"/>
    <w:rsid w:val="43D67F21"/>
    <w:rsid w:val="43EA7528"/>
    <w:rsid w:val="4498729F"/>
    <w:rsid w:val="44A1052F"/>
    <w:rsid w:val="44FA73AA"/>
    <w:rsid w:val="45003743"/>
    <w:rsid w:val="45352A25"/>
    <w:rsid w:val="455C1BA0"/>
    <w:rsid w:val="457F1EF2"/>
    <w:rsid w:val="459935B0"/>
    <w:rsid w:val="45CA13BF"/>
    <w:rsid w:val="45D44177"/>
    <w:rsid w:val="45E760E3"/>
    <w:rsid w:val="461E170B"/>
    <w:rsid w:val="46496788"/>
    <w:rsid w:val="464B192A"/>
    <w:rsid w:val="467C183B"/>
    <w:rsid w:val="46D02A05"/>
    <w:rsid w:val="471A45C8"/>
    <w:rsid w:val="47822130"/>
    <w:rsid w:val="47D26C51"/>
    <w:rsid w:val="47ED3A8B"/>
    <w:rsid w:val="481132D5"/>
    <w:rsid w:val="489C2DDD"/>
    <w:rsid w:val="48B86DCE"/>
    <w:rsid w:val="48FD0C44"/>
    <w:rsid w:val="49180694"/>
    <w:rsid w:val="49523BA5"/>
    <w:rsid w:val="497524EA"/>
    <w:rsid w:val="49816239"/>
    <w:rsid w:val="49D56585"/>
    <w:rsid w:val="4A4F6337"/>
    <w:rsid w:val="4A590F64"/>
    <w:rsid w:val="4A783AE0"/>
    <w:rsid w:val="4A87456B"/>
    <w:rsid w:val="4AC24D5B"/>
    <w:rsid w:val="4B663938"/>
    <w:rsid w:val="4BF52F0E"/>
    <w:rsid w:val="4C3D6C70"/>
    <w:rsid w:val="4C4023DB"/>
    <w:rsid w:val="4CC5397E"/>
    <w:rsid w:val="4D467EC5"/>
    <w:rsid w:val="4DA4699A"/>
    <w:rsid w:val="4DC1579E"/>
    <w:rsid w:val="4E7C1FBD"/>
    <w:rsid w:val="4E816CDB"/>
    <w:rsid w:val="4F1162B1"/>
    <w:rsid w:val="4F4A13F1"/>
    <w:rsid w:val="4F581676"/>
    <w:rsid w:val="4F921EB2"/>
    <w:rsid w:val="5019366F"/>
    <w:rsid w:val="501F67AB"/>
    <w:rsid w:val="507C68AE"/>
    <w:rsid w:val="50F33EC0"/>
    <w:rsid w:val="510936E3"/>
    <w:rsid w:val="5119769F"/>
    <w:rsid w:val="51510BE7"/>
    <w:rsid w:val="517F5754"/>
    <w:rsid w:val="51C04AD1"/>
    <w:rsid w:val="525C5A95"/>
    <w:rsid w:val="525E11CE"/>
    <w:rsid w:val="52781FDF"/>
    <w:rsid w:val="52B21B59"/>
    <w:rsid w:val="52B7716F"/>
    <w:rsid w:val="536569AE"/>
    <w:rsid w:val="53B4545D"/>
    <w:rsid w:val="53C27B7A"/>
    <w:rsid w:val="53EA3D76"/>
    <w:rsid w:val="53EC4BF7"/>
    <w:rsid w:val="540168F4"/>
    <w:rsid w:val="542E16B3"/>
    <w:rsid w:val="54CC288D"/>
    <w:rsid w:val="54D67D81"/>
    <w:rsid w:val="557D01FC"/>
    <w:rsid w:val="55872E29"/>
    <w:rsid w:val="55B87486"/>
    <w:rsid w:val="55E069DD"/>
    <w:rsid w:val="56002BDB"/>
    <w:rsid w:val="56356262"/>
    <w:rsid w:val="563B3C13"/>
    <w:rsid w:val="567075D8"/>
    <w:rsid w:val="56723AD9"/>
    <w:rsid w:val="56737851"/>
    <w:rsid w:val="56847368"/>
    <w:rsid w:val="569062D3"/>
    <w:rsid w:val="56A10AD4"/>
    <w:rsid w:val="56A25A40"/>
    <w:rsid w:val="57233025"/>
    <w:rsid w:val="574D1F5E"/>
    <w:rsid w:val="57575FA1"/>
    <w:rsid w:val="57601B83"/>
    <w:rsid w:val="577D0808"/>
    <w:rsid w:val="57BB14B0"/>
    <w:rsid w:val="57EA338C"/>
    <w:rsid w:val="58006EC2"/>
    <w:rsid w:val="580469B3"/>
    <w:rsid w:val="580544D9"/>
    <w:rsid w:val="58802EA3"/>
    <w:rsid w:val="588875E4"/>
    <w:rsid w:val="58A9755A"/>
    <w:rsid w:val="58F92290"/>
    <w:rsid w:val="59513E7A"/>
    <w:rsid w:val="59653481"/>
    <w:rsid w:val="59F3400F"/>
    <w:rsid w:val="5A317807"/>
    <w:rsid w:val="5A374BE8"/>
    <w:rsid w:val="5A407A4A"/>
    <w:rsid w:val="5A89319F"/>
    <w:rsid w:val="5A932270"/>
    <w:rsid w:val="5AA24261"/>
    <w:rsid w:val="5AE221B5"/>
    <w:rsid w:val="5AFB7E85"/>
    <w:rsid w:val="5B0B62AA"/>
    <w:rsid w:val="5B280C0A"/>
    <w:rsid w:val="5B3550D5"/>
    <w:rsid w:val="5B751A8B"/>
    <w:rsid w:val="5B791466"/>
    <w:rsid w:val="5B7F45A2"/>
    <w:rsid w:val="5BA858A7"/>
    <w:rsid w:val="5BB57FC4"/>
    <w:rsid w:val="5BD06CAF"/>
    <w:rsid w:val="5BFC12F8"/>
    <w:rsid w:val="5C0827EA"/>
    <w:rsid w:val="5C4834F1"/>
    <w:rsid w:val="5C5872CD"/>
    <w:rsid w:val="5C8C34FA"/>
    <w:rsid w:val="5CAC586B"/>
    <w:rsid w:val="5CAE5844"/>
    <w:rsid w:val="5D69550A"/>
    <w:rsid w:val="5D7A2356"/>
    <w:rsid w:val="5DDC5CDC"/>
    <w:rsid w:val="5DFB16FB"/>
    <w:rsid w:val="5E930A90"/>
    <w:rsid w:val="5EA42C9D"/>
    <w:rsid w:val="5EDD7F5D"/>
    <w:rsid w:val="5EEA61D6"/>
    <w:rsid w:val="5F021772"/>
    <w:rsid w:val="5F090D52"/>
    <w:rsid w:val="5F1533A5"/>
    <w:rsid w:val="5F24793A"/>
    <w:rsid w:val="5F697A43"/>
    <w:rsid w:val="5F7A755A"/>
    <w:rsid w:val="5F8A0A2F"/>
    <w:rsid w:val="5F9C3975"/>
    <w:rsid w:val="5FBB029F"/>
    <w:rsid w:val="5FED2422"/>
    <w:rsid w:val="606644A2"/>
    <w:rsid w:val="606856F7"/>
    <w:rsid w:val="607034DD"/>
    <w:rsid w:val="60874625"/>
    <w:rsid w:val="60CA62C0"/>
    <w:rsid w:val="60DF1D6B"/>
    <w:rsid w:val="60F90953"/>
    <w:rsid w:val="61021EFD"/>
    <w:rsid w:val="610726FE"/>
    <w:rsid w:val="61D92C5E"/>
    <w:rsid w:val="620239AC"/>
    <w:rsid w:val="625978FB"/>
    <w:rsid w:val="62710E5F"/>
    <w:rsid w:val="62835E0F"/>
    <w:rsid w:val="62952928"/>
    <w:rsid w:val="629923ED"/>
    <w:rsid w:val="62CC27C3"/>
    <w:rsid w:val="62CC631F"/>
    <w:rsid w:val="62CD2097"/>
    <w:rsid w:val="63343EC4"/>
    <w:rsid w:val="64742395"/>
    <w:rsid w:val="64CD7191"/>
    <w:rsid w:val="64E33DF4"/>
    <w:rsid w:val="6517738C"/>
    <w:rsid w:val="65257F68"/>
    <w:rsid w:val="65424FBE"/>
    <w:rsid w:val="65C9123C"/>
    <w:rsid w:val="667967BE"/>
    <w:rsid w:val="669058B5"/>
    <w:rsid w:val="66C73294"/>
    <w:rsid w:val="670D5158"/>
    <w:rsid w:val="67242128"/>
    <w:rsid w:val="67542D87"/>
    <w:rsid w:val="677463FB"/>
    <w:rsid w:val="67852F40"/>
    <w:rsid w:val="679715F1"/>
    <w:rsid w:val="679E27C8"/>
    <w:rsid w:val="67C73559"/>
    <w:rsid w:val="67FF33DC"/>
    <w:rsid w:val="681608D8"/>
    <w:rsid w:val="688E3837"/>
    <w:rsid w:val="68B41D2F"/>
    <w:rsid w:val="68C24EB2"/>
    <w:rsid w:val="68FE744E"/>
    <w:rsid w:val="69B04F50"/>
    <w:rsid w:val="69BF57EF"/>
    <w:rsid w:val="69C41B27"/>
    <w:rsid w:val="69D4361E"/>
    <w:rsid w:val="6A2124C5"/>
    <w:rsid w:val="6A3F387A"/>
    <w:rsid w:val="6A707ED8"/>
    <w:rsid w:val="6AA13AE8"/>
    <w:rsid w:val="6AA8002E"/>
    <w:rsid w:val="6AB04778"/>
    <w:rsid w:val="6ABC311D"/>
    <w:rsid w:val="6B1906BD"/>
    <w:rsid w:val="6B3233DF"/>
    <w:rsid w:val="6B451364"/>
    <w:rsid w:val="6B5A2284"/>
    <w:rsid w:val="6B5E2426"/>
    <w:rsid w:val="6B64343E"/>
    <w:rsid w:val="6B7834E8"/>
    <w:rsid w:val="6BBB33D4"/>
    <w:rsid w:val="6BC93D43"/>
    <w:rsid w:val="6C562B32"/>
    <w:rsid w:val="6CB70040"/>
    <w:rsid w:val="6CC4210F"/>
    <w:rsid w:val="6D284A9A"/>
    <w:rsid w:val="6D417909"/>
    <w:rsid w:val="6D464F20"/>
    <w:rsid w:val="6D510469"/>
    <w:rsid w:val="6D75460D"/>
    <w:rsid w:val="6D9516A5"/>
    <w:rsid w:val="6DB36D0A"/>
    <w:rsid w:val="6DC72505"/>
    <w:rsid w:val="6E153270"/>
    <w:rsid w:val="6E49116B"/>
    <w:rsid w:val="6E922B12"/>
    <w:rsid w:val="6EB74327"/>
    <w:rsid w:val="6EBC36EB"/>
    <w:rsid w:val="6ECC6094"/>
    <w:rsid w:val="6F484F7F"/>
    <w:rsid w:val="6F5002D8"/>
    <w:rsid w:val="6F51652A"/>
    <w:rsid w:val="6F616041"/>
    <w:rsid w:val="6F72024E"/>
    <w:rsid w:val="70001CFE"/>
    <w:rsid w:val="702F35E3"/>
    <w:rsid w:val="70396FED"/>
    <w:rsid w:val="70A45743"/>
    <w:rsid w:val="70D93433"/>
    <w:rsid w:val="70E31ABA"/>
    <w:rsid w:val="70EC5DDE"/>
    <w:rsid w:val="7104112D"/>
    <w:rsid w:val="711315BD"/>
    <w:rsid w:val="712E63F7"/>
    <w:rsid w:val="714B4E19"/>
    <w:rsid w:val="719646C8"/>
    <w:rsid w:val="71BE00D3"/>
    <w:rsid w:val="71F238C8"/>
    <w:rsid w:val="723F6DAC"/>
    <w:rsid w:val="72840E99"/>
    <w:rsid w:val="72A92354"/>
    <w:rsid w:val="72EE1508"/>
    <w:rsid w:val="72FF629D"/>
    <w:rsid w:val="730B4E43"/>
    <w:rsid w:val="732B70FF"/>
    <w:rsid w:val="73CA0659"/>
    <w:rsid w:val="73DC65DE"/>
    <w:rsid w:val="73E32F80"/>
    <w:rsid w:val="74066A6C"/>
    <w:rsid w:val="744E79E5"/>
    <w:rsid w:val="745F3497"/>
    <w:rsid w:val="749018A2"/>
    <w:rsid w:val="74D67E95"/>
    <w:rsid w:val="74EC697A"/>
    <w:rsid w:val="756B5E6B"/>
    <w:rsid w:val="767575B7"/>
    <w:rsid w:val="768C42EB"/>
    <w:rsid w:val="769A5ACE"/>
    <w:rsid w:val="76A96C4B"/>
    <w:rsid w:val="76AE24B4"/>
    <w:rsid w:val="76C92E49"/>
    <w:rsid w:val="76F61765"/>
    <w:rsid w:val="771F2A69"/>
    <w:rsid w:val="772B58B2"/>
    <w:rsid w:val="7731279D"/>
    <w:rsid w:val="784B1673"/>
    <w:rsid w:val="784C1F84"/>
    <w:rsid w:val="7860333A"/>
    <w:rsid w:val="78746DE5"/>
    <w:rsid w:val="78B56F1F"/>
    <w:rsid w:val="79D0629D"/>
    <w:rsid w:val="79FD2E0A"/>
    <w:rsid w:val="7A1B7E60"/>
    <w:rsid w:val="7A2D7B93"/>
    <w:rsid w:val="7A460C55"/>
    <w:rsid w:val="7B452CBB"/>
    <w:rsid w:val="7B711D02"/>
    <w:rsid w:val="7B7A2964"/>
    <w:rsid w:val="7BAE260E"/>
    <w:rsid w:val="7BE91898"/>
    <w:rsid w:val="7C1D7794"/>
    <w:rsid w:val="7C324FED"/>
    <w:rsid w:val="7C6D26FD"/>
    <w:rsid w:val="7C7F3FAA"/>
    <w:rsid w:val="7C9378B1"/>
    <w:rsid w:val="7CAD0598"/>
    <w:rsid w:val="7D1C7A4B"/>
    <w:rsid w:val="7D4A2E89"/>
    <w:rsid w:val="7D4C5627"/>
    <w:rsid w:val="7DBD122E"/>
    <w:rsid w:val="7DD722F0"/>
    <w:rsid w:val="7E0429B9"/>
    <w:rsid w:val="7E096221"/>
    <w:rsid w:val="7E1A21DD"/>
    <w:rsid w:val="7E605637"/>
    <w:rsid w:val="7E6F077A"/>
    <w:rsid w:val="7E701DB9"/>
    <w:rsid w:val="7EAD056A"/>
    <w:rsid w:val="7EB3129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1937</Words>
  <Characters>2288</Characters>
  <Lines>0</Lines>
  <Paragraphs>0</Paragraphs>
  <TotalTime>5</TotalTime>
  <ScaleCrop>false</ScaleCrop>
  <LinksUpToDate>false</LinksUpToDate>
  <CharactersWithSpaces>2602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2024-07-06T08:37:00Z</cp:lastPrinted>
  <dcterms:modified xsi:type="dcterms:W3CDTF">2024-07-08T00:22:14Z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FF4E33B217994C449E68A6FC04C2039D_13</vt:lpwstr>
  </property>
</Properties>
</file>