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stretch>
                      <a:fillRect/>
                    </a:stretch>
                  </pic:blipFill>
                  <pic:spPr>
                    <a:xfrm>
                      <a:off x="0" y="0"/>
                      <a:ext cx="1696720" cy="1687195"/>
                    </a:xfrm>
                    <a:prstGeom prst="rect">
                      <a:avLst/>
                    </a:prstGeom>
                    <a:noFill/>
                    <a:ln>
                      <a:noFill/>
                    </a:ln>
                  </pic:spPr>
                </pic:pic>
              </a:graphicData>
            </a:graphic>
          </wp:anchor>
        </w:drawing>
      </w:r>
    </w:p>
    <w:p>
      <w:pPr>
        <w:pStyle w:val="17"/>
        <w:jc w:val="right"/>
        <w:rPr>
          <w:rFonts w:hint="eastAsia" w:asciiTheme="majorEastAsia" w:hAnsiTheme="majorEastAsia" w:eastAsiaTheme="majorEastAsia" w:cstheme="majorEastAsia"/>
          <w:bCs/>
        </w:rPr>
      </w:pPr>
    </w:p>
    <w:p>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pPr>
        <w:pStyle w:val="17"/>
        <w:jc w:val="center"/>
        <w:rPr>
          <w:rFonts w:hint="eastAsia" w:asciiTheme="majorEastAsia" w:hAnsiTheme="majorEastAsia" w:eastAsiaTheme="majorEastAsia" w:cstheme="majorEastAsia"/>
          <w:bCs/>
          <w:color w:val="auto"/>
          <w:lang w:eastAsia="zh-CN"/>
        </w:rPr>
      </w:pPr>
    </w:p>
    <w:p>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2106"/>
      <w:bookmarkStart w:id="1" w:name="_Toc4197"/>
      <w:bookmarkStart w:id="2" w:name="_Toc30860"/>
    </w:p>
    <w:p>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pPr>
        <w:pStyle w:val="17"/>
        <w:ind w:right="960"/>
        <w:jc w:val="center"/>
        <w:rPr>
          <w:rFonts w:hint="eastAsia" w:asciiTheme="majorEastAsia" w:hAnsiTheme="majorEastAsia" w:eastAsiaTheme="majorEastAsia" w:cstheme="majorEastAsia"/>
          <w:b/>
          <w:bCs/>
          <w:color w:val="auto"/>
          <w:lang w:val="en-US" w:eastAsia="zh-CN"/>
        </w:rPr>
      </w:pPr>
    </w:p>
    <w:p>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2024年第一季度挥发性有机物检测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山东万达化工有限公司</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山东省东营市永莘路68号</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2024年03月15日-2024年03月16日</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2024年03月21日</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left"/>
        <w:rPr>
          <w:rFonts w:hint="eastAsia" w:asciiTheme="majorEastAsia" w:hAnsiTheme="majorEastAsia" w:eastAsiaTheme="majorEastAsia" w:cstheme="majorEastAsia"/>
          <w:szCs w:val="21"/>
        </w:rPr>
      </w:pPr>
    </w:p>
    <w:p>
      <w:pPr>
        <w:jc w:val="center"/>
        <w:outlineLvl w:val="9"/>
        <w:rPr>
          <w:rFonts w:hint="eastAsia" w:asciiTheme="majorEastAsia" w:hAnsiTheme="majorEastAsia" w:eastAsiaTheme="majorEastAsia" w:cstheme="majorEastAsia"/>
          <w:b/>
          <w:sz w:val="30"/>
          <w:szCs w:val="30"/>
          <w:lang w:eastAsia="zh-CN"/>
        </w:rPr>
      </w:pPr>
      <w:bookmarkStart w:id="4" w:name="_Toc14839"/>
      <w:r>
        <w:rPr>
          <w:rFonts w:hint="eastAsia" w:asciiTheme="majorEastAsia" w:hAnsiTheme="majorEastAsia" w:eastAsiaTheme="majorEastAsia" w:cstheme="majorEastAsia"/>
          <w:b/>
          <w:sz w:val="30"/>
          <w:szCs w:val="30"/>
          <w:lang w:eastAsia="zh-CN"/>
        </w:rPr>
        <w:t>山东泓启环保技术服务有限公司</w:t>
      </w:r>
      <w:bookmarkEnd w:id="4"/>
    </w:p>
    <w:p>
      <w:pPr>
        <w:jc w:val="both"/>
        <w:rPr>
          <w:rFonts w:hint="eastAsia" w:asciiTheme="majorEastAsia" w:hAnsiTheme="majorEastAsia" w:eastAsiaTheme="majorEastAsia" w:cstheme="majorEastAsia"/>
          <w:b/>
          <w:bCs/>
          <w:sz w:val="21"/>
          <w:szCs w:val="21"/>
        </w:rPr>
      </w:pPr>
    </w:p>
    <w:p>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pStyle w:val="17"/>
        <w:spacing w:line="360" w:lineRule="auto"/>
        <w:jc w:val="both"/>
        <w:rPr>
          <w:rFonts w:hint="eastAsia" w:asciiTheme="majorEastAsia" w:hAnsiTheme="majorEastAsia" w:eastAsiaTheme="majorEastAsia" w:cstheme="majorEastAsia"/>
          <w:bCs/>
          <w:caps/>
          <w:color w:val="000000"/>
          <w:sz w:val="21"/>
          <w:szCs w:val="21"/>
          <w:lang w:val="en-US" w:eastAsia="zh-CN" w:bidi="ar-SA"/>
        </w:rPr>
      </w:pPr>
      <w:r>
        <w:rPr>
          <w:rFonts w:hint="eastAsia" w:asciiTheme="majorEastAsia" w:hAnsiTheme="majorEastAsia" w:eastAsiaTheme="majorEastAsia" w:cstheme="majorEastAsia"/>
          <w:b/>
          <w:bCs/>
          <w:sz w:val="24"/>
          <w:szCs w:val="24"/>
          <w:lang w:eastAsia="zh-CN"/>
        </w:rPr>
        <w:t>　　　　　　　　　　　　　　　　</w:t>
      </w:r>
      <w:r>
        <w:rPr>
          <w:rFonts w:hint="eastAsia" w:asciiTheme="majorEastAsia" w:hAnsiTheme="majorEastAsia" w:eastAsiaTheme="majorEastAsia" w:cstheme="majorEastAsia"/>
          <w:b/>
          <w:bCs/>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_Toc12829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说明</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_Toc12829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_Toc14356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资质证书</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_Toc14356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_Toc29178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本报告规范性引用文件</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_Toc29178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_Toc29019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1. 挥发性有机物（VOC</w:t>
      </w:r>
      <w:r>
        <w:rPr>
          <w:rFonts w:hint="eastAsia" w:asciiTheme="majorEastAsia" w:hAnsiTheme="majorEastAsia" w:eastAsiaTheme="majorEastAsia" w:cstheme="majorEastAsia"/>
          <w:bCs/>
          <w:sz w:val="22"/>
          <w:szCs w:val="22"/>
          <w:lang w:val="en-US" w:eastAsia="zh-CN"/>
        </w:rPr>
        <w:t>s</w:t>
      </w:r>
      <w:r>
        <w:rPr>
          <w:rFonts w:hint="eastAsia" w:asciiTheme="majorEastAsia" w:hAnsiTheme="majorEastAsia" w:eastAsiaTheme="majorEastAsia" w:cstheme="majorEastAsia"/>
          <w:sz w:val="22"/>
          <w:szCs w:val="22"/>
          <w:lang w:val="en-US" w:eastAsia="zh-CN"/>
        </w:rPr>
        <w:t>）检测结果报告单</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_Toc29019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_Toc31405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1.1</w:t>
      </w:r>
      <w:r>
        <w:rPr>
          <w:rFonts w:hint="eastAsia" w:asciiTheme="majorEastAsia" w:hAnsiTheme="majorEastAsia" w:eastAsiaTheme="majorEastAsia" w:cstheme="majorEastAsia"/>
          <w:sz w:val="22"/>
          <w:szCs w:val="22"/>
        </w:rPr>
        <w:t>企业名称、性质、地址</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lang w:val="en-US" w:eastAsia="zh-CN"/>
        </w:rPr>
        <w:t>组织架构</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_Toc31405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_Toc23624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1.2企业简介</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_Toc23624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_Toc17134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1.3开展 LDAR 基本情况</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_Toc17134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_Toc8202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2.项目建立</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_Toc8202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_Toc31548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2.1项目组筹建</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_Toc31548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_Toc24835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2.2密封点建档</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_Toc24835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_Toc7371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bCs w:val="0"/>
          <w:sz w:val="22"/>
          <w:szCs w:val="22"/>
        </w:rPr>
        <w:t>检测密封点识别及编号流程</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_Toc7371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7</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_Toc26759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2.3装置适合性分析</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_Toc26759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7</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_Toc29898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2.4物料状态分析表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_Toc29898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8</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_Toc31631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2.5受控装置分析清单</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_Toc31631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9</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_Toc14019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2.6装置适合性分析</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_Toc14019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9</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_Toc24590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2.7响应因子分析</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_Toc24590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_Toc14124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3 现场</w:t>
      </w:r>
      <w:r>
        <w:rPr>
          <w:rFonts w:hint="eastAsia" w:asciiTheme="majorEastAsia" w:hAnsiTheme="majorEastAsia" w:eastAsiaTheme="majorEastAsia" w:cstheme="majorEastAsia"/>
          <w:sz w:val="22"/>
          <w:szCs w:val="22"/>
        </w:rPr>
        <w:t>检测</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_Toc14124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12</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_Toc19904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3.1检测设备及辅助设备</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_Toc19904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12</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_Toc14185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3.2</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z w:val="22"/>
          <w:szCs w:val="22"/>
          <w:lang w:val="en-US" w:eastAsia="zh-CN"/>
        </w:rPr>
        <w:t>现场作业安全检查</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_Toc14185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_Toc11954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3.3 现场检测记录</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_Toc11954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_Toc14013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3.4现场检测情况录入企业LDAR软件管理系统</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_Toc14013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_Toc29911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bCs/>
          <w:sz w:val="22"/>
          <w:szCs w:val="22"/>
          <w:lang w:val="en-US" w:eastAsia="zh-CN"/>
        </w:rPr>
        <w:t>4.泄漏检测</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_Toc29911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_Toc6154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4.1泄漏</w:t>
      </w:r>
      <w:r>
        <w:rPr>
          <w:rFonts w:hint="eastAsia" w:asciiTheme="majorEastAsia" w:hAnsiTheme="majorEastAsia" w:eastAsiaTheme="majorEastAsia" w:cstheme="majorEastAsia"/>
          <w:sz w:val="22"/>
          <w:szCs w:val="22"/>
        </w:rPr>
        <w:t>密封点统计</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_Toc6154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14</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_Toc13660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4.2</w:t>
      </w:r>
      <w:r>
        <w:rPr>
          <w:rFonts w:hint="eastAsia" w:asciiTheme="majorEastAsia" w:hAnsiTheme="majorEastAsia" w:eastAsiaTheme="majorEastAsia" w:cstheme="majorEastAsia"/>
          <w:sz w:val="22"/>
          <w:szCs w:val="22"/>
        </w:rPr>
        <w:t>泄漏点维修</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_Toc13660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_Toc10833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rPr>
        <w:t>泄漏点维修规定</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_Toc10833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_Toc32677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4.3排放量、泄漏量统计</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_Toc32677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16</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_Toc21057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4.4开展 LDAR 环境效益分析，实施 LDAR 后的效益</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_Toc21057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17</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_Toc21777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5.持续LDAR</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_Toc21777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18</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_Toc17770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5.1 LDAR环境和经济效益</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_Toc17770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18</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_Toc4084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5.2下季度LDAR工作计划</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_Toc4084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18</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9"/>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_Toc3014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rPr>
        <w:t>附表</w:t>
      </w:r>
      <w:r>
        <w:rPr>
          <w:rFonts w:hint="eastAsia" w:asciiTheme="majorEastAsia" w:hAnsiTheme="majorEastAsia" w:eastAsiaTheme="majorEastAsia" w:cstheme="majorEastAsia"/>
          <w:sz w:val="22"/>
          <w:szCs w:val="22"/>
          <w:lang w:val="en-US" w:eastAsia="zh-CN"/>
        </w:rPr>
        <w:t>6</w:t>
      </w:r>
      <w:r>
        <w:rPr>
          <w:rFonts w:hint="eastAsia" w:asciiTheme="majorEastAsia" w:hAnsiTheme="majorEastAsia" w:eastAsiaTheme="majorEastAsia" w:cstheme="majorEastAsia"/>
          <w:sz w:val="22"/>
          <w:szCs w:val="22"/>
        </w:rPr>
        <w:t>.</w:t>
      </w:r>
      <w:r>
        <w:rPr>
          <w:rFonts w:hint="eastAsia" w:asciiTheme="majorEastAsia" w:hAnsiTheme="majorEastAsia" w:eastAsiaTheme="majorEastAsia" w:cstheme="majorEastAsia"/>
          <w:bCs/>
          <w:caps w:val="0"/>
          <w:spacing w:val="0"/>
          <w:kern w:val="2"/>
          <w:sz w:val="22"/>
          <w:szCs w:val="22"/>
          <w:lang w:val="en-US" w:eastAsia="zh-CN" w:bidi="en-US"/>
        </w:rPr>
        <w:t xml:space="preserve"> 山东万达化工有限公司2024年第一季度LDAR汇总表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_Toc3014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19</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_Toc15219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表6.1 山东万达化工有限公司ODA一装置LDAR 2024年第一轮统计表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_Toc15219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20</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_Toc25263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表6.1.1 山东万达化工有限公司ODA二装置LDAR 2024年第一轮统计表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_Toc25263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21</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_Toc11042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表6.1.2 山东万达化工有限公司储运装置LDAR 2024年第一轮统计表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_Toc11042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22</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_Toc13447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 xml:space="preserve">表6.2 </w:t>
      </w:r>
      <w:r>
        <w:rPr>
          <w:rFonts w:hint="eastAsia" w:asciiTheme="majorEastAsia" w:hAnsiTheme="majorEastAsia" w:eastAsiaTheme="majorEastAsia" w:cstheme="majorEastAsia"/>
          <w:bCs/>
          <w:sz w:val="22"/>
          <w:szCs w:val="22"/>
          <w:lang w:val="en-US" w:eastAsia="zh-CN"/>
        </w:rPr>
        <w:t>山东万达化工有限公司</w:t>
      </w:r>
      <w:r>
        <w:rPr>
          <w:rFonts w:hint="eastAsia" w:asciiTheme="majorEastAsia" w:hAnsiTheme="majorEastAsia" w:eastAsiaTheme="majorEastAsia" w:cstheme="majorEastAsia"/>
          <w:sz w:val="22"/>
          <w:szCs w:val="22"/>
          <w:lang w:val="en-US" w:eastAsia="zh-CN"/>
        </w:rPr>
        <w:t>2024年第一季度LDAR普查表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_Toc13447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23</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pStyle w:val="10"/>
        <w:tabs>
          <w:tab w:val="right" w:leader="dot" w:pos="8299"/>
        </w:tabs>
        <w:rPr>
          <w:rFonts w:hint="eastAsia" w:asciiTheme="majorEastAsia" w:hAnsiTheme="majorEastAsia" w:eastAsiaTheme="majorEastAsia" w:cstheme="majorEastAsia"/>
        </w:rPr>
      </w:pPr>
      <w:r>
        <w:rPr>
          <w:rFonts w:hint="eastAsia" w:asciiTheme="majorEastAsia" w:hAnsiTheme="majorEastAsia" w:eastAsiaTheme="majorEastAsia" w:cstheme="majorEastAsia"/>
          <w:bCs/>
          <w:caps/>
          <w:sz w:val="22"/>
          <w:szCs w:val="22"/>
        </w:rPr>
        <w:fldChar w:fldCharType="begin"/>
      </w:r>
      <w:r>
        <w:rPr>
          <w:rFonts w:hint="eastAsia" w:asciiTheme="majorEastAsia" w:hAnsiTheme="majorEastAsia" w:eastAsiaTheme="majorEastAsia" w:cstheme="majorEastAsia"/>
          <w:bCs/>
          <w:caps/>
          <w:sz w:val="22"/>
          <w:szCs w:val="22"/>
        </w:rPr>
        <w:instrText xml:space="preserve"> HYPERLINK \l _Toc22667 </w:instrText>
      </w:r>
      <w:r>
        <w:rPr>
          <w:rFonts w:hint="eastAsia" w:asciiTheme="majorEastAsia" w:hAnsiTheme="majorEastAsia" w:eastAsiaTheme="majorEastAsia" w:cstheme="majorEastAsia"/>
          <w:bCs/>
          <w:caps/>
          <w:sz w:val="22"/>
          <w:szCs w:val="22"/>
        </w:rPr>
        <w:fldChar w:fldCharType="separate"/>
      </w:r>
      <w:r>
        <w:rPr>
          <w:rFonts w:hint="eastAsia" w:asciiTheme="majorEastAsia" w:hAnsiTheme="majorEastAsia" w:eastAsiaTheme="majorEastAsia" w:cstheme="majorEastAsia"/>
          <w:sz w:val="22"/>
          <w:szCs w:val="22"/>
          <w:lang w:val="en-US" w:eastAsia="zh-CN"/>
        </w:rPr>
        <w:t>表6.3 山东万达化工有限公司2024年第一季度泄漏点复检表</w:t>
      </w:r>
      <w:r>
        <w:rPr>
          <w:rFonts w:hint="eastAsia" w:asciiTheme="majorEastAsia" w:hAnsiTheme="majorEastAsia" w:eastAsiaTheme="majorEastAsia" w:cstheme="majorEastAsia"/>
          <w:sz w:val="22"/>
          <w:szCs w:val="22"/>
        </w:rPr>
        <w:tab/>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PAGEREF _Toc22667 \h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25</w: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bCs/>
          <w:caps/>
          <w:sz w:val="22"/>
          <w:szCs w:val="22"/>
        </w:rPr>
        <w:fldChar w:fldCharType="end"/>
      </w:r>
    </w:p>
    <w:p>
      <w:pPr>
        <w:spacing w:line="360" w:lineRule="auto"/>
        <w:ind w:firstLine="4200" w:firstLineChars="2000"/>
        <w:jc w:val="both"/>
        <w:rPr>
          <w:rFonts w:hint="eastAsia" w:asciiTheme="majorEastAsia" w:hAnsiTheme="majorEastAsia" w:eastAsiaTheme="majorEastAsia" w:cstheme="majorEastAsia"/>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5" w:name="_Toc12829"/>
      <w:bookmarkStart w:id="6" w:name="_Toc4215"/>
      <w:r>
        <w:rPr>
          <w:rFonts w:hint="eastAsia" w:asciiTheme="majorEastAsia" w:hAnsiTheme="majorEastAsia" w:eastAsiaTheme="majorEastAsia" w:cstheme="majorEastAsia"/>
          <w:color w:val="auto"/>
          <w:lang w:val="en-US" w:eastAsia="zh-CN"/>
        </w:rPr>
        <w:t>说明</w:t>
      </w:r>
      <w:bookmarkEnd w:id="5"/>
      <w:bookmarkEnd w:id="6"/>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pPr>
        <w:ind w:left="480"/>
        <w:rPr>
          <w:rFonts w:hint="eastAsia" w:asciiTheme="majorEastAsia" w:hAnsiTheme="majorEastAsia" w:eastAsiaTheme="majorEastAsia" w:cstheme="majorEastAsia"/>
          <w:sz w:val="21"/>
          <w:szCs w:val="21"/>
        </w:rPr>
      </w:pPr>
    </w:p>
    <w:p>
      <w:pPr>
        <w:spacing w:line="480" w:lineRule="auto"/>
        <w:rPr>
          <w:rFonts w:hint="eastAsia" w:asciiTheme="majorEastAsia" w:hAnsiTheme="majorEastAsia" w:eastAsiaTheme="majorEastAsia" w:cstheme="majorEastAsia"/>
          <w:sz w:val="21"/>
          <w:szCs w:val="21"/>
        </w:rPr>
      </w:pP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山东省东营市开发区运河路661号世誉建材广场1幢434号</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7" w:name="_Toc17850"/>
      <w:bookmarkStart w:id="8" w:name="_Toc5904"/>
      <w:bookmarkStart w:id="9" w:name="_Toc14356"/>
      <w:r>
        <w:rPr>
          <w:rFonts w:hint="eastAsia" w:asciiTheme="majorEastAsia" w:hAnsiTheme="majorEastAsia" w:eastAsiaTheme="majorEastAsia" w:cstheme="majorEastAsia"/>
          <w:lang w:val="en-US" w:eastAsia="zh-CN"/>
        </w:rPr>
        <w:drawing>
          <wp:anchor distT="0" distB="0" distL="114300" distR="114300" simplePos="0" relativeHeight="251663360"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7"/>
                    <a:stretch>
                      <a:fillRect/>
                    </a:stretch>
                  </pic:blipFill>
                  <pic:spPr>
                    <a:xfrm>
                      <a:off x="0" y="0"/>
                      <a:ext cx="4991735" cy="7053580"/>
                    </a:xfrm>
                    <a:prstGeom prst="rect">
                      <a:avLst/>
                    </a:prstGeom>
                  </pic:spPr>
                </pic:pic>
              </a:graphicData>
            </a:graphic>
          </wp:anchor>
        </w:drawing>
      </w:r>
      <w:r>
        <w:rPr>
          <w:rFonts w:hint="eastAsia" w:asciiTheme="majorEastAsia" w:hAnsiTheme="majorEastAsia" w:eastAsiaTheme="majorEastAsia" w:cstheme="majorEastAsia"/>
          <w:color w:val="auto"/>
          <w:sz w:val="36"/>
          <w:szCs w:val="36"/>
          <w:lang w:val="en-US" w:eastAsia="zh-CN"/>
        </w:rPr>
        <w:t>资质</w:t>
      </w:r>
      <w:bookmarkEnd w:id="7"/>
      <w:bookmarkEnd w:id="8"/>
      <w:r>
        <w:rPr>
          <w:rFonts w:hint="eastAsia" w:asciiTheme="majorEastAsia" w:hAnsiTheme="majorEastAsia" w:eastAsiaTheme="majorEastAsia" w:cstheme="major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1" w:name="_Toc27027"/>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asciiTheme="majorEastAsia" w:hAnsiTheme="majorEastAsia" w:eastAsiaTheme="majorEastAsia" w:cstheme="majorEastAsia"/>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2" w:name="_Toc29178"/>
      <w:bookmarkStart w:id="13" w:name="_Toc12519"/>
      <w:r>
        <w:rPr>
          <w:rFonts w:hint="eastAsia" w:asciiTheme="majorEastAsia" w:hAnsiTheme="majorEastAsia" w:eastAsiaTheme="majorEastAsia" w:cstheme="majorEastAsia"/>
          <w:color w:val="auto"/>
          <w:lang w:val="en-US" w:eastAsia="zh-CN"/>
        </w:rPr>
        <w:t>本报告规范性引用文件</w:t>
      </w:r>
      <w:bookmarkEnd w:id="11"/>
      <w:bookmarkEnd w:id="12"/>
      <w:bookmarkEnd w:id="13"/>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pPr>
        <w:rPr>
          <w:rFonts w:hint="eastAsia" w:asciiTheme="majorEastAsia" w:hAnsiTheme="majorEastAsia" w:eastAsiaTheme="majorEastAsia" w:cstheme="majorEastAsia"/>
          <w:lang w:val="zh-CN"/>
        </w:rPr>
      </w:pPr>
    </w:p>
    <w:p>
      <w:pPr>
        <w:pStyle w:val="2"/>
        <w:rPr>
          <w:rFonts w:hint="eastAsia" w:asciiTheme="majorEastAsia" w:hAnsiTheme="majorEastAsia" w:eastAsiaTheme="majorEastAsia" w:cstheme="majorEastAsia"/>
          <w:lang w:val="zh-CN"/>
        </w:rPr>
      </w:pPr>
    </w:p>
    <w:p>
      <w:pPr>
        <w:rPr>
          <w:rFonts w:hint="eastAsia" w:asciiTheme="majorEastAsia" w:hAnsiTheme="majorEastAsia" w:eastAsiaTheme="majorEastAsia" w:cstheme="majorEastAsia"/>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4" w:name="_Toc29019"/>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4"/>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5"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山东万达化工有限公司2024年第一季度挥发性有机物检测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山东省东营市永莘路68号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2024年03月15日</w:t>
            </w:r>
          </w:p>
        </w:tc>
        <w:tc>
          <w:tcPr>
            <w:tcW w:w="2055"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2024年03月16日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仪器编号：T-003、T-004、T-008</w:t>
            </w:r>
          </w:p>
        </w:tc>
        <w:tc>
          <w:tcPr>
            <w:tcW w:w="1600"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highlight w:val="none"/>
                <w:lang w:val="en-US" w:eastAsia="zh-CN"/>
              </w:rPr>
              <w:t>本轮项目检测：受控</w:t>
            </w:r>
            <w:bookmarkStart w:id="109" w:name="_GoBack"/>
            <w:bookmarkEnd w:id="109"/>
            <w:r>
              <w:rPr>
                <w:rFonts w:hint="eastAsia" w:asciiTheme="majorEastAsia" w:hAnsiTheme="majorEastAsia" w:eastAsiaTheme="majorEastAsia" w:cstheme="majorEastAsia"/>
                <w:color w:val="auto"/>
                <w:sz w:val="21"/>
                <w:szCs w:val="21"/>
                <w:highlight w:val="none"/>
                <w:lang w:val="en-US" w:eastAsia="zh-CN"/>
              </w:rPr>
              <w:t>密封点位1618个，实际检测密封点位1550个，不可达密封点位68个，发现泄漏密封点位6个，已修复合格泄漏点位6个，泄漏率为:0.37%。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5"/>
    </w:tbl>
    <w:p>
      <w:pPr>
        <w:rPr>
          <w:rFonts w:hint="eastAsia" w:asciiTheme="majorEastAsia" w:hAnsiTheme="majorEastAsia" w:eastAsiaTheme="majorEastAsia" w:cstheme="majorEastAsia"/>
          <w:color w:val="auto"/>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color w:val="auto"/>
          <w:lang w:val="en-US" w:eastAsia="zh-CN"/>
        </w:rPr>
      </w:pPr>
    </w:p>
    <w:p>
      <w:pPr>
        <w:pStyle w:val="2"/>
        <w:rPr>
          <w:rFonts w:hint="eastAsia" w:asciiTheme="majorEastAsia" w:hAnsiTheme="majorEastAsia" w:eastAsiaTheme="majorEastAsia" w:cstheme="majorEastAsia"/>
          <w:lang w:val="en-US" w:eastAsia="zh-CN"/>
        </w:rPr>
      </w:pPr>
    </w:p>
    <w:p>
      <w:pPr>
        <w:numPr>
          <w:ilvl w:val="0"/>
          <w:numId w:val="0"/>
        </w:numPr>
        <w:rPr>
          <w:rFonts w:hint="eastAsia" w:asciiTheme="majorEastAsia" w:hAnsiTheme="majorEastAsia" w:eastAsiaTheme="majorEastAsia" w:cstheme="majorEastAsia"/>
          <w:lang w:val="en-US" w:eastAsia="zh-CN"/>
        </w:rPr>
      </w:pPr>
    </w:p>
    <w:p>
      <w:pPr>
        <w:tabs>
          <w:tab w:val="left" w:pos="1263"/>
        </w:tabs>
        <w:bidi w:val="0"/>
        <w:jc w:val="left"/>
        <w:rPr>
          <w:rFonts w:hint="eastAsia" w:asciiTheme="majorEastAsia" w:hAnsiTheme="majorEastAsia" w:eastAsiaTheme="majorEastAsia" w:cstheme="majorEastAsia"/>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6" w:name="_Toc476727230"/>
      <w:bookmarkStart w:id="17" w:name="_Toc6325"/>
      <w:bookmarkStart w:id="18" w:name="_Toc25835"/>
      <w:bookmarkStart w:id="19" w:name="_Toc31405"/>
      <w:bookmarkStart w:id="20" w:name="_Toc25630"/>
      <w:r>
        <w:rPr>
          <w:rFonts w:hint="eastAsia" w:asciiTheme="majorEastAsia" w:hAnsiTheme="majorEastAsia" w:eastAsiaTheme="majorEastAsia" w:cstheme="majorEastAsia"/>
          <w:sz w:val="28"/>
          <w:szCs w:val="28"/>
          <w:lang w:val="en-US" w:eastAsia="zh-CN"/>
        </w:rPr>
        <w:t>1.1</w:t>
      </w:r>
      <w:bookmarkEnd w:id="16"/>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山东万达化工有限公司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ajorEastAsia" w:hAnsiTheme="majorEastAsia" w:eastAsiaTheme="majorEastAsia" w:cstheme="majorEastAsia"/>
          <w:bCs/>
          <w:sz w:val="21"/>
          <w:szCs w:val="21"/>
          <w:lang w:val="en-US" w:eastAsia="zh-CN"/>
        </w:rPr>
        <w:t>山东省东营市永莘路68号</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1" w:name="_Toc23624"/>
      <w:r>
        <w:rPr>
          <w:rFonts w:hint="eastAsia" w:asciiTheme="majorEastAsia" w:hAnsiTheme="majorEastAsia" w:eastAsiaTheme="majorEastAsia" w:cstheme="majorEastAsia"/>
          <w:sz w:val="28"/>
          <w:szCs w:val="28"/>
          <w:lang w:val="en-US" w:eastAsia="zh-CN"/>
        </w:rPr>
        <w:t>1.2企业简介</w:t>
      </w:r>
      <w:bookmarkEnd w:id="21"/>
      <w:bookmarkStart w:id="22" w:name="_Toc15218"/>
      <w:bookmarkStart w:id="23" w:name="_Toc472"/>
      <w:bookmarkStart w:id="24" w:name="_Toc1109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万达化工公司作为中国万达石化集团下属产业之一，属国家大型一档企业，国家火炬计划重点高新技术企业，拥有资产40多亿元，占地60多万平方米，员工1300余名。公司先后通过ISO9001、ISO14001和OHSAS18001三大体系整合认证，拥有自主经营进出口权。公司以研发和生产石油化工和精细化工产品为主导方向，涵盖ABS高胶粉、MBS塑料抗冲剂、ACR 塑料加工助剂、破乳剂、聚丙烯酰胺、二氨基二苯醚等几十种系列产品，并提供油田开采过程中的技术服务。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p>
    <w:p>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5" w:name="_Toc17134"/>
      <w:r>
        <w:rPr>
          <w:rFonts w:hint="eastAsia" w:asciiTheme="majorEastAsia" w:hAnsiTheme="majorEastAsia" w:eastAsiaTheme="majorEastAsia" w:cstheme="majorEastAsia"/>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2024年03月15日</w:t>
            </w:r>
          </w:p>
        </w:tc>
        <w:tc>
          <w:tcPr>
            <w:tcW w:w="1984" w:type="dxa"/>
            <w:tcBorders>
              <w:tl2br w:val="nil"/>
              <w:tr2bl w:val="nil"/>
            </w:tcBorders>
            <w:vAlign w:val="center"/>
          </w:tcPr>
          <w:p>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2059"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6" w:name="_Toc4462"/>
      <w:bookmarkStart w:id="27" w:name="_Toc11175"/>
      <w:bookmarkStart w:id="28" w:name="_Toc6549"/>
    </w:p>
    <w:p>
      <w:pPr>
        <w:pStyle w:val="3"/>
        <w:numPr>
          <w:ilvl w:val="0"/>
          <w:numId w:val="0"/>
        </w:numPr>
        <w:ind w:leftChars="0"/>
        <w:rPr>
          <w:rFonts w:hint="eastAsia" w:asciiTheme="majorEastAsia" w:hAnsiTheme="majorEastAsia" w:eastAsiaTheme="majorEastAsia" w:cstheme="majorEastAsia"/>
          <w:color w:val="auto"/>
          <w:lang w:val="en-US"/>
        </w:rPr>
      </w:pPr>
      <w:bookmarkStart w:id="29" w:name="_Toc8202"/>
      <w:r>
        <w:rPr>
          <w:rFonts w:hint="eastAsia" w:asciiTheme="majorEastAsia" w:hAnsiTheme="majorEastAsia" w:eastAsiaTheme="majorEastAsia" w:cstheme="majorEastAsia"/>
          <w:color w:val="auto"/>
          <w:lang w:val="en-US" w:eastAsia="zh-CN"/>
        </w:rPr>
        <w:t>2.项目建立</w:t>
      </w:r>
      <w:bookmarkEnd w:id="26"/>
      <w:bookmarkEnd w:id="27"/>
      <w:bookmarkEnd w:id="28"/>
      <w:bookmarkEnd w:id="29"/>
      <w:r>
        <w:rPr>
          <w:rFonts w:hint="eastAsia" w:asciiTheme="majorEastAsia" w:hAnsiTheme="majorEastAsia" w:eastAsiaTheme="majorEastAsia" w:cstheme="maj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0" w:name="_Toc15548"/>
      <w:bookmarkStart w:id="31" w:name="_Toc603"/>
      <w:bookmarkStart w:id="32" w:name="_Toc30135"/>
      <w:r>
        <w:rPr>
          <w:rFonts w:hint="eastAsia" w:asciiTheme="majorEastAsia" w:hAnsiTheme="majorEastAsia" w:eastAsiaTheme="majorEastAsia" w:cstheme="maj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33" w:name="_Toc31548"/>
      <w:r>
        <w:rPr>
          <w:rFonts w:hint="eastAsia" w:asciiTheme="majorEastAsia" w:hAnsiTheme="majorEastAsia" w:eastAsiaTheme="majorEastAsia" w:cstheme="majorEastAsia"/>
          <w:lang w:val="en-US" w:eastAsia="zh-CN"/>
        </w:rPr>
        <w:t>2.1项目组筹建</w:t>
      </w:r>
      <w:bookmarkEnd w:id="30"/>
      <w:bookmarkEnd w:id="31"/>
      <w:bookmarkEnd w:id="32"/>
      <w:bookmarkEnd w:id="33"/>
    </w:p>
    <w:p>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pPr>
        <w:rPr>
          <w:rFonts w:hint="eastAsia" w:asciiTheme="majorEastAsia" w:hAnsiTheme="majorEastAsia" w:eastAsiaTheme="majorEastAsia" w:cstheme="majorEastAsia"/>
          <w:sz w:val="21"/>
          <w:szCs w:val="21"/>
          <w:lang w:val="en-US" w:eastAsia="zh-CN" w:bidi="en-US"/>
        </w:rPr>
      </w:pPr>
    </w:p>
    <w:p>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山东万达化工有限公司LDAR实施计划：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bl>
    <w:p>
      <w:pPr>
        <w:pStyle w:val="4"/>
        <w:numPr>
          <w:ilvl w:val="1"/>
          <w:numId w:val="0"/>
        </w:numPr>
        <w:bidi w:val="0"/>
        <w:ind w:leftChars="0"/>
        <w:rPr>
          <w:rFonts w:hint="eastAsia" w:asciiTheme="majorEastAsia" w:hAnsiTheme="majorEastAsia" w:eastAsiaTheme="majorEastAsia" w:cstheme="majorEastAsia"/>
          <w:lang w:val="en-US" w:eastAsia="zh-CN"/>
        </w:rPr>
      </w:pPr>
      <w:bookmarkStart w:id="34" w:name="_Toc13645"/>
      <w:bookmarkStart w:id="35" w:name="_Toc10338"/>
      <w:bookmarkStart w:id="36" w:name="_Toc417"/>
      <w:bookmarkStart w:id="37" w:name="_Toc476727239"/>
    </w:p>
    <w:p>
      <w:pPr>
        <w:pStyle w:val="4"/>
        <w:numPr>
          <w:ilvl w:val="1"/>
          <w:numId w:val="0"/>
        </w:numPr>
        <w:bidi w:val="0"/>
        <w:ind w:leftChars="0"/>
        <w:rPr>
          <w:rFonts w:hint="eastAsia" w:asciiTheme="majorEastAsia" w:hAnsiTheme="majorEastAsia" w:eastAsiaTheme="majorEastAsia" w:cstheme="majorEastAsia"/>
          <w:lang w:val="en-US" w:eastAsia="zh-CN"/>
        </w:rPr>
      </w:pPr>
      <w:bookmarkStart w:id="38" w:name="_Toc24835"/>
      <w:r>
        <w:rPr>
          <w:rFonts w:hint="eastAsia" w:asciiTheme="majorEastAsia" w:hAnsiTheme="majorEastAsia" w:eastAsiaTheme="majorEastAsia" w:cstheme="majorEastAsia"/>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39" w:name="_Toc17243"/>
      <w:bookmarkStart w:id="40" w:name="_Toc26954"/>
      <w:bookmarkStart w:id="41" w:name="_Toc8306"/>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spacing w:line="276" w:lineRule="auto"/>
        <w:ind w:left="420"/>
        <w:jc w:val="center"/>
        <w:outlineLvl w:val="0"/>
        <w:rPr>
          <w:rFonts w:hint="eastAsia" w:asciiTheme="majorEastAsia" w:hAnsiTheme="majorEastAsia" w:eastAsiaTheme="majorEastAsia" w:cstheme="majorEastAsia"/>
          <w:b/>
          <w:bCs w:val="0"/>
          <w:sz w:val="21"/>
          <w:szCs w:val="21"/>
        </w:rPr>
      </w:pPr>
      <w:bookmarkStart w:id="42" w:name="_Toc7371"/>
      <w:r>
        <w:rPr>
          <w:rFonts w:hint="eastAsia" w:asciiTheme="majorEastAsia" w:hAnsiTheme="majorEastAsia" w:eastAsiaTheme="majorEastAsia" w:cstheme="majorEastAsia"/>
          <w:b/>
          <w:bCs w:val="0"/>
          <w:sz w:val="21"/>
          <w:szCs w:val="21"/>
        </w:rPr>
        <w:t>检测密封点识别及编号流程</w:t>
      </w:r>
      <w:bookmarkEnd w:id="39"/>
      <w:bookmarkEnd w:id="40"/>
      <w:bookmarkEnd w:id="41"/>
      <w:bookmarkEnd w:id="42"/>
    </w:p>
    <w:p>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3" w:name="_Toc15082"/>
      <w:bookmarkStart w:id="44" w:name="_Toc10566"/>
      <w:bookmarkStart w:id="45" w:name="_Toc28271"/>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46" w:name="_Toc26759"/>
      <w:r>
        <w:rPr>
          <w:rFonts w:hint="eastAsia" w:asciiTheme="majorEastAsia" w:hAnsiTheme="majorEastAsia" w:eastAsiaTheme="majorEastAsia" w:cstheme="majorEastAsia"/>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47" w:name="_Toc29898"/>
      <w:r>
        <w:rPr>
          <w:rFonts w:hint="eastAsia" w:asciiTheme="majorEastAsia" w:hAnsiTheme="majorEastAsia" w:eastAsiaTheme="majorEastAsia" w:cstheme="majorEastAsia"/>
          <w:lang w:val="en-US" w:eastAsia="zh-CN"/>
        </w:rPr>
        <w:t>2.4物料状态分析表</w:t>
      </w:r>
      <w:bookmarkEnd w:id="47"/>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t>重液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20摄氏度时，挥发性有机液体的真实蒸汽压小于0.3kpa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31631"/>
      <w:r>
        <w:rPr>
          <w:rFonts w:hint="eastAsia" w:asciiTheme="majorEastAsia" w:hAnsiTheme="majorEastAsia" w:eastAsiaTheme="majorEastAsia" w:cstheme="majorEastAsia"/>
          <w:lang w:val="en-US" w:eastAsia="zh-CN"/>
        </w:rPr>
        <w:t>2.5受控装置分析清单</w:t>
      </w:r>
      <w:bookmarkEnd w:id="48"/>
    </w:p>
    <w:bookmarkEnd w:id="37"/>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49" w:name="_Toc12509"/>
            <w:bookmarkStart w:id="50"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6"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ODA一装置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涉VOCs物料:二硝、氯化苯、硝基苯等</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XODAY0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ODA二装置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涉VOCs物料:二甲基乙酰胺、甲醇</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XODAE0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储运装置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涉VOCs物料:双甲酯、环氧丙烷、环氧乙烷、丁二烯等</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pStyle w:val="2"/>
        <w:rPr>
          <w:rFonts w:hint="eastAsia" w:asciiTheme="majorEastAsia" w:hAnsiTheme="majorEastAsia" w:eastAsiaTheme="majorEastAsia" w:cstheme="majorEastAsia"/>
          <w:b/>
          <w:bCs/>
          <w:color w:val="000000"/>
          <w:kern w:val="0"/>
          <w:sz w:val="21"/>
          <w:szCs w:val="21"/>
          <w:u w:val="none"/>
          <w:lang w:val="en-US" w:eastAsia="zh-CN" w:bidi="ar-SA"/>
        </w:rPr>
      </w:pPr>
      <w:r>
        <w:rPr>
          <w:rFonts w:hint="eastAsia" w:asciiTheme="majorEastAsia" w:hAnsiTheme="majorEastAsia" w:eastAsiaTheme="majorEastAsia" w:cstheme="majorEastAsia"/>
          <w:b/>
          <w:bCs/>
          <w:color w:val="000000"/>
          <w:kern w:val="0"/>
          <w:sz w:val="21"/>
          <w:szCs w:val="21"/>
          <w:u w:val="none"/>
          <w:lang w:val="en-US" w:eastAsia="zh-CN" w:bidi="ar-SA"/>
        </w:rPr>
        <w:t>本次豁免装置明细：</w:t>
      </w:r>
    </w:p>
    <w:tbl>
      <w:tblPr>
        <w:tblStyle w:val="13"/>
        <w:tblpPr w:leftFromText="180" w:rightFromText="180" w:vertAnchor="text" w:horzAnchor="page" w:tblpX="1184"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6"/>
        <w:gridCol w:w="1216"/>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序号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装置名称</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装置编码</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豁免原因</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记录日期</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新材料一装置</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XXCLY0</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刘吉文</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新材料二装置</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XXCLE0</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刘吉文</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3</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中试装置</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XXXZS0</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刘吉文</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2024年03月15日</w:t>
            </w:r>
          </w:p>
        </w:tc>
      </w:tr>
    </w:tbl>
    <w:p>
      <w:pPr>
        <w:pStyle w:val="2"/>
        <w:rPr>
          <w:rFonts w:hint="eastAsia" w:asciiTheme="majorEastAsia" w:hAnsiTheme="majorEastAsia" w:eastAsiaTheme="majorEastAsia" w:cstheme="majorEastAsia"/>
          <w:b w:val="0"/>
          <w:bCs w:val="0"/>
          <w:color w:val="000000"/>
          <w:kern w:val="0"/>
          <w:sz w:val="21"/>
          <w:szCs w:val="21"/>
          <w:u w:val="none"/>
          <w:lang w:val="en-US" w:eastAsia="zh-CN" w:bidi="ar-SA"/>
        </w:rPr>
      </w:pPr>
    </w:p>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51" w:name="_Toc14019"/>
      <w:r>
        <w:rPr>
          <w:rFonts w:hint="eastAsia" w:asciiTheme="majorEastAsia" w:hAnsiTheme="majorEastAsia" w:eastAsiaTheme="majorEastAsia" w:cstheme="majorEastAsia"/>
          <w:lang w:val="en-US" w:eastAsia="zh-CN"/>
        </w:rPr>
        <w:t>2.6装置适合性分析</w:t>
      </w:r>
      <w:bookmarkEnd w:id="5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52" w:name="_Toc24590"/>
      <w:r>
        <w:rPr>
          <w:rFonts w:hint="eastAsia" w:asciiTheme="majorEastAsia" w:hAnsiTheme="majorEastAsia" w:eastAsiaTheme="majorEastAsia" w:cstheme="majorEastAsia"/>
          <w:lang w:val="en-US" w:eastAsia="zh-CN"/>
        </w:rPr>
        <w:t>2.7响应因子分析</w:t>
      </w:r>
      <w:bookmarkEnd w:id="52"/>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9"/>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6432"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0"/>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bl>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3" w:name="_Toc14124"/>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49"/>
      <w:bookmarkEnd w:id="50"/>
      <w:bookmarkEnd w:id="53"/>
    </w:p>
    <w:p>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6948"/>
      <w:bookmarkStart w:id="55" w:name="_Toc21329"/>
      <w:bookmarkStart w:id="56" w:name="_Toc25188"/>
      <w:bookmarkStart w:id="57" w:name="_Toc19904"/>
      <w:r>
        <w:rPr>
          <w:rFonts w:hint="eastAsia" w:asciiTheme="majorEastAsia" w:hAnsiTheme="majorEastAsia" w:eastAsiaTheme="majorEastAsia" w:cstheme="majorEastAsia"/>
        </w:rPr>
        <w:drawing>
          <wp:anchor distT="0" distB="0" distL="114300" distR="114300" simplePos="0" relativeHeight="251664384"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4"/>
      <w:bookmarkEnd w:id="55"/>
      <w:bookmarkEnd w:id="56"/>
      <w:bookmarkStart w:id="58" w:name="_Toc23655"/>
      <w:r>
        <w:rPr>
          <w:rFonts w:hint="eastAsia" w:asciiTheme="majorEastAsia" w:hAnsiTheme="majorEastAsia" w:eastAsiaTheme="majorEastAsia" w:cstheme="majorEastAsia"/>
          <w:lang w:val="en-US" w:eastAsia="zh-CN"/>
        </w:rPr>
        <w:t>检测设备及辅助设备</w:t>
      </w:r>
      <w:bookmarkEnd w:id="57"/>
      <w:bookmarkEnd w:id="58"/>
    </w:p>
    <w:p>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59" w:name="_Toc8884"/>
            <w:bookmarkStart w:id="60"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1" w:name="_Toc14378"/>
      <w:bookmarkStart w:id="62" w:name="_Toc18593"/>
      <w:bookmarkStart w:id="63" w:name="_Toc3981"/>
      <w:bookmarkStart w:id="64" w:name="_Toc5177"/>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2023-06-21</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2107005179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34002126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GBW(E)062509</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93326129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pPr>
        <w:pStyle w:val="4"/>
        <w:numPr>
          <w:ilvl w:val="1"/>
          <w:numId w:val="0"/>
        </w:numPr>
        <w:bidi w:val="0"/>
        <w:ind w:leftChars="0"/>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65" w:name="_Toc14185"/>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pPr>
        <w:rPr>
          <w:rFonts w:hint="eastAsia" w:asciiTheme="majorEastAsia" w:hAnsiTheme="majorEastAsia" w:eastAsiaTheme="majorEastAsia" w:cstheme="major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6" w:name="_Toc11954"/>
      <w:r>
        <w:rPr>
          <w:rFonts w:hint="eastAsia" w:asciiTheme="majorEastAsia" w:hAnsiTheme="majorEastAsia" w:eastAsiaTheme="majorEastAsia" w:cstheme="majorEastAsia"/>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14013"/>
      <w:r>
        <w:rPr>
          <w:rFonts w:hint="eastAsia" w:asciiTheme="majorEastAsia" w:hAnsiTheme="majorEastAsia" w:eastAsiaTheme="majorEastAsia" w:cstheme="majorEastAsia"/>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68" w:name="_Toc3"/>
      <w:bookmarkStart w:id="69" w:name="_Toc16051"/>
      <w:bookmarkStart w:id="70" w:name="_Toc31257"/>
      <w:bookmarkStart w:id="71" w:name="_Toc13170"/>
    </w:p>
    <w:p>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2" w:name="_Toc29911"/>
      <w:r>
        <w:rPr>
          <w:rFonts w:hint="eastAsia" w:asciiTheme="majorEastAsia" w:hAnsiTheme="majorEastAsia" w:eastAsiaTheme="majorEastAsia" w:cstheme="majorEastAsia"/>
          <w:b/>
          <w:bCs/>
          <w:color w:val="auto"/>
          <w:lang w:val="en-US" w:eastAsia="zh-CN"/>
        </w:rPr>
        <w:t>4.泄漏</w:t>
      </w:r>
      <w:bookmarkEnd w:id="68"/>
      <w:bookmarkEnd w:id="69"/>
      <w:bookmarkEnd w:id="70"/>
      <w:bookmarkEnd w:id="71"/>
      <w:r>
        <w:rPr>
          <w:rFonts w:hint="eastAsia" w:asciiTheme="majorEastAsia" w:hAnsiTheme="majorEastAsia" w:eastAsiaTheme="majorEastAsia" w:cstheme="major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asciiTheme="majorEastAsia" w:hAnsiTheme="majorEastAsia" w:eastAsiaTheme="majorEastAsia" w:cstheme="majorEastAsia"/>
        </w:rPr>
      </w:pPr>
      <w:bookmarkStart w:id="73" w:name="_Toc30508"/>
      <w:bookmarkStart w:id="74" w:name="_Toc6154"/>
      <w:bookmarkStart w:id="75" w:name="_Toc28174"/>
      <w:bookmarkStart w:id="76" w:name="_Toc16907"/>
      <w:bookmarkStart w:id="77" w:name="_Toc16343"/>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3"/>
      <w:bookmarkEnd w:id="74"/>
      <w:bookmarkEnd w:id="75"/>
      <w:bookmarkEnd w:id="76"/>
      <w:bookmarkEnd w:id="77"/>
    </w:p>
    <w:p>
      <w:pPr>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lang w:val="en-US" w:eastAsia="zh-CN"/>
        </w:rPr>
      </w:pPr>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车间</w:t>
            </w: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78" w:name="_Toc4572"/>
            <w:bookmarkStart w:id="79" w:name="_Toc27149"/>
            <w:bookmarkStart w:id="80" w:name="_Toc17053"/>
            <w:bookmarkStart w:id="81" w:name="_Toc13495"/>
            <w:r>
              <w:rPr>
                <w:rFonts w:hint="eastAsia" w:asciiTheme="majorEastAsia" w:hAnsiTheme="majorEastAsia" w:eastAsiaTheme="majorEastAsia" w:cstheme="majorEastAsia"/>
                <w:sz w:val="21"/>
                <w:szCs w:val="21"/>
                <w:lang w:val="en-US" w:eastAsia="zh-CN"/>
              </w:rPr>
              <w:t>ODA一装置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373</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373</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sz w:val="21"/>
                <w:szCs w:val="21"/>
                <w:lang w:val="en-US" w:eastAsia="zh-CN"/>
              </w:rPr>
              <w:t>ODA二装置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851</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820</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31</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3</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储运装置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394</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357</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37</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2</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auto"/>
                <w:lang w:val="en-US" w:eastAsia="zh-CN"/>
              </w:rPr>
              <w:t>合计</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ajorEastAsia" w:hAnsiTheme="majorEastAsia" w:eastAsiaTheme="majorEastAsia" w:cstheme="majorEastAsia"/>
                <w:bCs/>
                <w:sz w:val="21"/>
                <w:szCs w:val="21"/>
                <w:lang w:val="en-US" w:eastAsia="zh-CN"/>
              </w:rPr>
              <w:t>1618</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ajorEastAsia" w:hAnsiTheme="majorEastAsia" w:eastAsiaTheme="majorEastAsia" w:cstheme="majorEastAsia"/>
                <w:bCs/>
                <w:sz w:val="21"/>
                <w:szCs w:val="21"/>
                <w:lang w:val="en-US" w:eastAsia="zh-CN"/>
              </w:rPr>
              <w:t>1550</w:t>
            </w:r>
          </w:p>
        </w:tc>
        <w:tc>
          <w:tcPr>
            <w:tcW w:w="1238" w:type="dxa"/>
            <w:tcBorders>
              <w:tl2br w:val="nil"/>
              <w:tr2bl w:val="nil"/>
            </w:tcBorders>
            <w:vAlign w:val="center"/>
          </w:tcPr>
          <w:p>
            <w:pPr>
              <w:pStyle w:val="26"/>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68</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bl>
    <w:p>
      <w:pPr>
        <w:pStyle w:val="4"/>
        <w:numPr>
          <w:ilvl w:val="1"/>
          <w:numId w:val="0"/>
        </w:numPr>
        <w:bidi w:val="0"/>
        <w:ind w:leftChars="0"/>
        <w:rPr>
          <w:rFonts w:hint="eastAsia" w:asciiTheme="majorEastAsia" w:hAnsiTheme="majorEastAsia" w:eastAsiaTheme="majorEastAsia" w:cstheme="majorEastAsia"/>
          <w:lang w:val="en-US" w:eastAsia="zh-CN"/>
        </w:rPr>
      </w:pPr>
      <w:bookmarkStart w:id="82" w:name="_Toc13660"/>
    </w:p>
    <w:p>
      <w:pPr>
        <w:pStyle w:val="4"/>
        <w:numPr>
          <w:ilvl w:val="1"/>
          <w:numId w:val="0"/>
        </w:numPr>
        <w:bidi w:val="0"/>
        <w:ind w:left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78"/>
      <w:bookmarkEnd w:id="79"/>
      <w:bookmarkEnd w:id="80"/>
      <w:bookmarkEnd w:id="81"/>
      <w:bookmarkEnd w:id="82"/>
    </w:p>
    <w:p>
      <w:pPr>
        <w:pStyle w:val="4"/>
        <w:numPr>
          <w:ilvl w:val="1"/>
          <w:numId w:val="0"/>
        </w:numPr>
        <w:bidi w:val="0"/>
        <w:ind w:leftChars="0"/>
        <w:rPr>
          <w:rFonts w:hint="eastAsia" w:asciiTheme="majorEastAsia" w:hAnsiTheme="majorEastAsia" w:eastAsiaTheme="majorEastAsia" w:cstheme="majorEastAsia"/>
        </w:rPr>
      </w:pPr>
      <w:bookmarkStart w:id="83" w:name="_Toc29307"/>
      <w:bookmarkStart w:id="84" w:name="_Toc10833"/>
      <w:bookmarkStart w:id="85" w:name="_Toc20510"/>
      <w:bookmarkStart w:id="86" w:name="_Toc30668"/>
      <w:bookmarkStart w:id="87" w:name="_Toc18147"/>
      <w:r>
        <w:rPr>
          <w:rFonts w:hint="eastAsia" w:asciiTheme="majorEastAsia" w:hAnsiTheme="majorEastAsia" w:eastAsiaTheme="majorEastAsia" w:cstheme="majorEastAsia"/>
        </w:rPr>
        <w:t>泄漏点维修规定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88" w:name="_Toc32677"/>
      <w:r>
        <w:rPr>
          <w:rFonts w:hint="eastAsia" w:asciiTheme="majorEastAsia" w:hAnsiTheme="majorEastAsia" w:eastAsiaTheme="majorEastAsia" w:cstheme="majorEastAsia"/>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38.95</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38.78</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706.67</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706.02</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sz w:val="21"/>
                <w:szCs w:val="21"/>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905.45</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905.06</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1651.07</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1649.86</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1.21</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89" w:name="_Toc21057"/>
      <w:r>
        <w:rPr>
          <w:rFonts w:hint="eastAsia" w:asciiTheme="majorEastAsia" w:hAnsiTheme="majorEastAsia" w:eastAsiaTheme="majorEastAsia" w:cstheme="majorEastAsia"/>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rPr>
          <w:rFonts w:hint="eastAsia" w:asciiTheme="majorEastAsia" w:hAnsiTheme="majorEastAsia" w:eastAsiaTheme="majorEastAsia" w:cstheme="majorEastAsia"/>
          <w:sz w:val="21"/>
          <w:szCs w:val="21"/>
          <w:lang w:bidi="en-US"/>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0" w:name="_Toc19056"/>
      <w:bookmarkStart w:id="91" w:name="_Toc27060"/>
      <w:bookmarkStart w:id="92" w:name="_Toc13433"/>
      <w:bookmarkStart w:id="93" w:name="_Toc23996"/>
      <w:bookmarkStart w:id="94" w:name="_Toc21777"/>
      <w:r>
        <w:rPr>
          <w:rFonts w:hint="eastAsia" w:asciiTheme="majorEastAsia" w:hAnsiTheme="majorEastAsia" w:eastAsiaTheme="majorEastAsia" w:cstheme="majorEastAsia"/>
          <w:color w:val="auto"/>
          <w:lang w:val="en-US" w:eastAsia="zh-CN"/>
        </w:rPr>
        <w:t>5</w:t>
      </w:r>
      <w:bookmarkEnd w:id="90"/>
      <w:bookmarkEnd w:id="91"/>
      <w:bookmarkEnd w:id="92"/>
      <w:bookmarkEnd w:id="93"/>
      <w:r>
        <w:rPr>
          <w:rFonts w:hint="eastAsia" w:asciiTheme="majorEastAsia" w:hAnsiTheme="majorEastAsia" w:eastAsiaTheme="majorEastAsia" w:cstheme="majorEastAsia"/>
          <w:color w:val="auto"/>
          <w:lang w:val="en-US" w:eastAsia="zh-CN"/>
        </w:rPr>
        <w:t>.持续LDAR</w:t>
      </w:r>
      <w:bookmarkEnd w:id="94"/>
    </w:p>
    <w:p>
      <w:pPr>
        <w:pStyle w:val="4"/>
        <w:numPr>
          <w:ilvl w:val="1"/>
          <w:numId w:val="0"/>
        </w:numPr>
        <w:bidi w:val="0"/>
        <w:ind w:leftChars="0"/>
        <w:rPr>
          <w:rFonts w:hint="eastAsia" w:asciiTheme="majorEastAsia" w:hAnsiTheme="majorEastAsia" w:eastAsiaTheme="majorEastAsia" w:cstheme="majorEastAsia"/>
          <w:lang w:val="en-US" w:eastAsia="zh-CN"/>
        </w:rPr>
      </w:pPr>
      <w:bookmarkStart w:id="95" w:name="_Toc17770"/>
      <w:r>
        <w:rPr>
          <w:rFonts w:hint="eastAsia" w:asciiTheme="majorEastAsia" w:hAnsiTheme="majorEastAsia" w:eastAsiaTheme="majorEastAsia" w:cstheme="majorEastAsia"/>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96" w:name="_Toc4084"/>
      <w:r>
        <w:rPr>
          <w:rFonts w:hint="eastAsia" w:asciiTheme="majorEastAsia" w:hAnsiTheme="majorEastAsia" w:eastAsiaTheme="majorEastAsia" w:cstheme="majorEastAsia"/>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rPr>
      </w:pPr>
    </w:p>
    <w:p>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7" w:name="_Toc31900"/>
      <w:bookmarkStart w:id="98" w:name="_Toc25776"/>
      <w:bookmarkStart w:id="99" w:name="_Toc1288"/>
      <w:bookmarkStart w:id="100" w:name="_Toc3471"/>
      <w:bookmarkStart w:id="101" w:name="_Toc5857"/>
      <w:bookmarkStart w:id="102" w:name="_Toc23871"/>
      <w:bookmarkStart w:id="103" w:name="_Toc3014"/>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山东万达化工有限公司2024年第一季度LDAR汇总表</w:t>
      </w:r>
      <w:bookmarkEnd w:id="97"/>
      <w:bookmarkEnd w:id="98"/>
      <w:bookmarkEnd w:id="99"/>
      <w:bookmarkEnd w:id="100"/>
      <w:bookmarkEnd w:id="101"/>
      <w:bookmarkEnd w:id="102"/>
      <w:bookmarkEnd w:id="103"/>
    </w:p>
    <w:p>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填表日期：2024年03月21日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山东万达化工有限公司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韩经理</w:t>
            </w:r>
          </w:p>
        </w:tc>
        <w:tc>
          <w:tcPr>
            <w:tcW w:w="1925" w:type="dxa"/>
            <w:gridSpan w:val="2"/>
            <w:noWrap/>
            <w:vAlign w:val="center"/>
          </w:tcPr>
          <w:p>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03</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16</w:t>
            </w:r>
            <w:r>
              <w:rPr>
                <w:rFonts w:hint="eastAsia" w:asciiTheme="majorEastAsia" w:hAnsiTheme="majorEastAsia" w:eastAsiaTheme="majorEastAsia" w:cstheme="maj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sz w:val="21"/>
                <w:szCs w:val="21"/>
                <w:lang w:val="en-US" w:eastAsia="zh-CN"/>
              </w:rPr>
              <w:t>ODA一装置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bCs/>
                <w:sz w:val="21"/>
                <w:szCs w:val="21"/>
                <w:lang w:val="en-US" w:eastAsia="zh-CN"/>
              </w:rPr>
              <w:t>373</w:t>
            </w:r>
          </w:p>
        </w:tc>
        <w:tc>
          <w:tcPr>
            <w:tcW w:w="2140" w:type="dxa"/>
            <w:noWrap/>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Cs/>
                <w:sz w:val="21"/>
                <w:szCs w:val="21"/>
                <w:lang w:val="en-US" w:eastAsia="zh-CN"/>
              </w:rPr>
              <w:t>2</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ODA二装置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851</w:t>
            </w:r>
          </w:p>
        </w:tc>
        <w:tc>
          <w:tcPr>
            <w:tcW w:w="2140" w:type="dxa"/>
            <w:noWrap/>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Cs/>
                <w:sz w:val="21"/>
                <w:szCs w:val="21"/>
                <w:lang w:val="en-US" w:eastAsia="zh-CN"/>
              </w:rPr>
              <w:t>3</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394</w:t>
            </w:r>
          </w:p>
        </w:tc>
        <w:tc>
          <w:tcPr>
            <w:tcW w:w="2140" w:type="dxa"/>
            <w:noWrap/>
            <w:vAlign w:val="center"/>
          </w:tcPr>
          <w:p>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合计</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1618</w:t>
            </w:r>
          </w:p>
        </w:tc>
        <w:tc>
          <w:tcPr>
            <w:tcW w:w="2140" w:type="dxa"/>
            <w:noWrap/>
            <w:vAlign w:val="center"/>
          </w:tcPr>
          <w:p>
            <w:pPr>
              <w:pStyle w:val="26"/>
              <w:ind w:firstLine="0" w:firstLineChars="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03</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15</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03</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16</w:t>
            </w:r>
            <w:r>
              <w:rPr>
                <w:rFonts w:hint="eastAsia" w:asciiTheme="majorEastAsia" w:hAnsiTheme="majorEastAsia" w:eastAsiaTheme="majorEastAsia" w:cstheme="maj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auto"/>
                <w:sz w:val="21"/>
                <w:szCs w:val="21"/>
                <w:lang w:val="en-US" w:eastAsia="zh-CN"/>
              </w:rPr>
              <w:t>1550</w:t>
            </w:r>
          </w:p>
        </w:tc>
        <w:tc>
          <w:tcPr>
            <w:tcW w:w="1925"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w:t>
            </w:r>
          </w:p>
        </w:tc>
        <w:tc>
          <w:tcPr>
            <w:tcW w:w="1925"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4" w:name="_Toc15219"/>
      <w:r>
        <w:rPr>
          <w:rFonts w:hint="eastAsia" w:asciiTheme="majorEastAsia" w:hAnsiTheme="majorEastAsia" w:eastAsiaTheme="majorEastAsia" w:cstheme="majorEastAsia"/>
          <w:color w:val="auto"/>
          <w:sz w:val="21"/>
          <w:szCs w:val="21"/>
          <w:lang w:val="en-US" w:eastAsia="zh-CN"/>
        </w:rPr>
        <w:t>表6.1 山东万达化工有限公司ODA一装置</w:t>
      </w:r>
      <w:r>
        <w:rPr>
          <w:rFonts w:hint="eastAsia" w:asciiTheme="majorEastAsia" w:hAnsiTheme="majorEastAsia" w:eastAsiaTheme="majorEastAsia" w:cstheme="majorEastAsia"/>
          <w:sz w:val="21"/>
          <w:szCs w:val="21"/>
          <w:lang w:val="en-US" w:eastAsia="zh-CN"/>
        </w:rPr>
        <w:t>LDAR 2024年第一轮统计表</w:t>
      </w:r>
      <w:bookmarkEnd w:id="104"/>
    </w:p>
    <w:p>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ODA一装置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XODAY0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rPr>
            </w:pP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373</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373</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bl>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5" w:name="_Toc25263"/>
      <w:r>
        <w:rPr>
          <w:rFonts w:hint="eastAsia" w:asciiTheme="majorEastAsia" w:hAnsiTheme="majorEastAsia" w:eastAsiaTheme="majorEastAsia" w:cstheme="majorEastAsia"/>
          <w:color w:val="auto"/>
          <w:sz w:val="21"/>
          <w:szCs w:val="21"/>
          <w:lang w:val="en-US" w:eastAsia="zh-CN"/>
        </w:rPr>
        <w:t>表6.1.1 山东万达化工有限公司ODA二装置LDAR 2024年第一轮统计表</w:t>
      </w:r>
      <w:bookmarkEnd w:id="105"/>
    </w:p>
    <w:p>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lang w:val="en-US" w:eastAsia="zh-CN"/>
              </w:rPr>
            </w:pP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758</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733</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68</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851</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31</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820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11042"/>
      <w:r>
        <w:rPr>
          <w:rFonts w:hint="eastAsia" w:asciiTheme="majorEastAsia" w:hAnsiTheme="majorEastAsia" w:eastAsiaTheme="majorEastAsia" w:cstheme="majorEastAsia"/>
          <w:color w:val="auto"/>
          <w:sz w:val="21"/>
          <w:szCs w:val="21"/>
          <w:lang w:val="en-US" w:eastAsia="zh-CN"/>
        </w:rPr>
        <w:t>表6.1.2　山东万达化工有限公司储运装</w:t>
      </w:r>
      <w:r>
        <w:rPr>
          <w:rFonts w:hint="eastAsia" w:asciiTheme="majorEastAsia" w:hAnsiTheme="majorEastAsia" w:eastAsiaTheme="majorEastAsia" w:cstheme="majorEastAsia"/>
          <w:sz w:val="21"/>
          <w:szCs w:val="21"/>
          <w:lang w:val="en-US" w:eastAsia="zh-CN"/>
        </w:rPr>
        <w:t>置LDAR 2024年第一轮统计表</w:t>
      </w:r>
      <w:bookmarkEnd w:id="106"/>
    </w:p>
    <w:p>
      <w:pPr>
        <w:pStyle w:val="23"/>
        <w:jc w:val="right"/>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XXXZG0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rPr>
            </w:pP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377"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377</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36</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341</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13</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12</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394</w:t>
            </w:r>
          </w:p>
        </w:tc>
        <w:tc>
          <w:tcPr>
            <w:tcW w:w="1377" w:type="dxa"/>
            <w:noWrap/>
            <w:vAlign w:val="center"/>
          </w:tcPr>
          <w:p>
            <w:pPr>
              <w:jc w:val="center"/>
              <w:rPr>
                <w:rFonts w:hint="eastAsia"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37</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357</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pPr>
        <w:pStyle w:val="2"/>
        <w:rPr>
          <w:rFonts w:hint="eastAsia" w:asciiTheme="majorEastAsia" w:hAnsiTheme="majorEastAsia" w:eastAsiaTheme="majorEastAsia" w:cstheme="maj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7" w:name="_Toc13447"/>
      <w:r>
        <w:rPr>
          <w:rFonts w:hint="eastAsia" w:asciiTheme="majorEastAsia" w:hAnsiTheme="majorEastAsia" w:eastAsiaTheme="majorEastAsia" w:cstheme="majorEastAsia"/>
          <w:sz w:val="21"/>
          <w:szCs w:val="21"/>
          <w:lang w:val="en-US" w:eastAsia="zh-CN"/>
        </w:rPr>
        <w:t xml:space="preserve">表6.2 </w:t>
      </w:r>
      <w:r>
        <w:rPr>
          <w:rFonts w:hint="eastAsia" w:asciiTheme="majorEastAsia" w:hAnsiTheme="majorEastAsia" w:eastAsiaTheme="majorEastAsia" w:cstheme="majorEastAsia"/>
          <w:b/>
          <w:bCs/>
          <w:sz w:val="21"/>
          <w:szCs w:val="21"/>
          <w:u w:val="none"/>
          <w:lang w:val="en-US" w:eastAsia="zh-CN"/>
        </w:rPr>
        <w:t>山东万达化工有限公司</w:t>
      </w:r>
      <w:r>
        <w:rPr>
          <w:rFonts w:hint="eastAsia" w:asciiTheme="majorEastAsia" w:hAnsiTheme="majorEastAsia" w:eastAsiaTheme="majorEastAsia" w:cstheme="majorEastAsia"/>
          <w:sz w:val="21"/>
          <w:szCs w:val="21"/>
          <w:lang w:val="en-US" w:eastAsia="zh-CN"/>
        </w:rPr>
        <w:t>2024年第一季度LDAR普查表</w:t>
      </w:r>
      <w:bookmarkEnd w:id="107"/>
    </w:p>
    <w:p>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填表日期：2024年03月21日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183"/>
        <w:gridCol w:w="1209"/>
        <w:gridCol w:w="1183"/>
        <w:gridCol w:w="1356"/>
        <w:gridCol w:w="1318"/>
        <w:gridCol w:w="1318"/>
        <w:gridCol w:w="1680"/>
        <w:gridCol w:w="1330"/>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山东万达化工有限公司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韩经理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i w:val="0"/>
                <w:iCs w:val="0"/>
                <w:caps w:val="0"/>
                <w:color w:val="auto"/>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349" w:type="dxa"/>
            <w:gridSpan w:val="9"/>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01月-2024年03月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02" w:type="dxa"/>
            <w:gridSpan w:val="2"/>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183"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09"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183"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56"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68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3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772"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183" w:type="dxa"/>
            <w:vAlign w:val="center"/>
          </w:tcPr>
          <w:p>
            <w:pPr>
              <w:pStyle w:val="26"/>
              <w:ind w:firstLine="0" w:firstLineChars="0"/>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373</w:t>
            </w:r>
          </w:p>
        </w:tc>
        <w:tc>
          <w:tcPr>
            <w:tcW w:w="1209" w:type="dxa"/>
            <w:vAlign w:val="center"/>
          </w:tcPr>
          <w:p>
            <w:pPr>
              <w:pStyle w:val="26"/>
              <w:ind w:firstLine="0" w:firstLineChars="0"/>
              <w:jc w:val="center"/>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373</w:t>
            </w:r>
          </w:p>
        </w:tc>
        <w:tc>
          <w:tcPr>
            <w:tcW w:w="1183"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0.27</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183" w:type="dxa"/>
            <w:vAlign w:val="center"/>
          </w:tcPr>
          <w:p>
            <w:pPr>
              <w:pStyle w:val="26"/>
              <w:ind w:firstLine="0" w:firstLineChars="0"/>
              <w:jc w:val="center"/>
              <w:rPr>
                <w:rFonts w:hint="eastAsia"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851</w:t>
            </w:r>
          </w:p>
        </w:tc>
        <w:tc>
          <w:tcPr>
            <w:tcW w:w="1209" w:type="dxa"/>
            <w:vAlign w:val="center"/>
          </w:tcPr>
          <w:p>
            <w:pPr>
              <w:pStyle w:val="26"/>
              <w:ind w:firstLine="0" w:firstLineChars="0"/>
              <w:jc w:val="center"/>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820</w:t>
            </w:r>
          </w:p>
        </w:tc>
        <w:tc>
          <w:tcPr>
            <w:tcW w:w="1183"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3</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0.35</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3</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183" w:type="dxa"/>
            <w:vAlign w:val="center"/>
          </w:tcPr>
          <w:p>
            <w:pPr>
              <w:pStyle w:val="26"/>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394</w:t>
            </w:r>
          </w:p>
        </w:tc>
        <w:tc>
          <w:tcPr>
            <w:tcW w:w="1209" w:type="dxa"/>
            <w:vAlign w:val="center"/>
          </w:tcPr>
          <w:p>
            <w:pPr>
              <w:pStyle w:val="26"/>
              <w:ind w:firstLine="0" w:firstLineChars="0"/>
              <w:jc w:val="cente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sz w:val="21"/>
                <w:szCs w:val="21"/>
                <w:lang w:val="en-US" w:eastAsia="zh-CN"/>
              </w:rPr>
              <w:t>357</w:t>
            </w:r>
          </w:p>
        </w:tc>
        <w:tc>
          <w:tcPr>
            <w:tcW w:w="1183"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356"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0.51</w:t>
            </w:r>
          </w:p>
        </w:tc>
        <w:tc>
          <w:tcPr>
            <w:tcW w:w="1680"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772"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07" w:type="dxa"/>
            <w:vAlign w:val="center"/>
          </w:tcPr>
          <w:p>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183" w:type="dxa"/>
            <w:vAlign w:val="center"/>
          </w:tcPr>
          <w:p>
            <w:pPr>
              <w:pStyle w:val="26"/>
              <w:ind w:firstLine="0" w:firstLineChars="0"/>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1618</w:t>
            </w:r>
          </w:p>
        </w:tc>
        <w:tc>
          <w:tcPr>
            <w:tcW w:w="1209" w:type="dxa"/>
            <w:vAlign w:val="center"/>
          </w:tcPr>
          <w:p>
            <w:pPr>
              <w:pStyle w:val="26"/>
              <w:ind w:firstLine="0" w:firstLineChars="0"/>
              <w:jc w:val="center"/>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1550</w:t>
            </w:r>
          </w:p>
        </w:tc>
        <w:tc>
          <w:tcPr>
            <w:tcW w:w="1183"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6</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0.37</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6</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pPr>
        <w:pStyle w:val="2"/>
        <w:rPr>
          <w:rFonts w:hint="eastAsia" w:asciiTheme="majorEastAsia" w:hAnsiTheme="majorEastAsia" w:eastAsiaTheme="majorEastAsia" w:cstheme="maj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8" w:name="_Toc22667"/>
      <w:r>
        <w:rPr>
          <w:rFonts w:hint="eastAsia" w:asciiTheme="majorEastAsia" w:hAnsiTheme="majorEastAsia" w:eastAsiaTheme="majorEastAsia" w:cstheme="majorEastAsia"/>
          <w:sz w:val="21"/>
          <w:szCs w:val="21"/>
          <w:lang w:val="en-US" w:eastAsia="zh-CN"/>
        </w:rPr>
        <w:t>表6.3  山东万达化工有限公司2024年第一季度泄漏点复检表</w:t>
      </w:r>
      <w:bookmarkEnd w:id="108"/>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设备位号</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XODAE0-01-03-0081</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007O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冷凝器2</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冷凝器2开口管线</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3156.5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42.6</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16:35:12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XODAE0-02-02-0043</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001O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E502D</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E502D开口管线</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2470.6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14.6</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16:38:21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XODAE0-03-03-0003</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003O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E3204</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E3204开口</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3348.4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52.6</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16:42:36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ODA一装置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XODAY0-01-01-0062</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006O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硝基苯罐7</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硝基苯罐7开口</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2172.7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32.5</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16:46:41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XXXZG0-02-02-0007</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006O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原料储罐V0201</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原料储罐V0201开口管线</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2102.4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52.3</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16:50:44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XXXZG0-03-01-0036</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004O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丁二烯卸车</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丁二烯卸车开口</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3275.6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41.2</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2024-3-16 16:54:18</w:t>
            </w:r>
          </w:p>
        </w:tc>
      </w:tr>
    </w:tbl>
    <w:p>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pPr>
        <w:pStyle w:val="2"/>
        <w:rPr>
          <w:rFonts w:hint="eastAsia" w:asciiTheme="majorEastAsia" w:hAnsiTheme="majorEastAsia" w:eastAsiaTheme="majorEastAsia" w:cstheme="majorEastAsia"/>
          <w:lang w:val="en-US" w:eastAsia="zh-CN"/>
        </w:rPr>
      </w:pP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footerReference r:id="rId14"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宋体" w:hAnsi="宋体" w:eastAsia="宋体" w:cs="宋体"/>
        <w:u w:val="single"/>
        <w:lang w:val="en-US" w:eastAsia="zh-CN"/>
      </w:rPr>
    </w:pPr>
    <w:r>
      <w:rPr>
        <w:sz w:val="18"/>
        <w:u w:val="single"/>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p>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5408;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报告编号：（E检）字（2024）0006号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报告编号：（E检）字（2024）0006号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报告编号：（E检）字（2024）0006号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1552"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报告编号：（E检）字（2024）0006号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0NWI4Zjk2MzQ0YzZkM2U5OTA4MGI4MzE2NDAifQ=="/>
  </w:docVars>
  <w:rsids>
    <w:rsidRoot w:val="00000000"/>
    <w:rsid w:val="000969AD"/>
    <w:rsid w:val="000E3FC3"/>
    <w:rsid w:val="00135135"/>
    <w:rsid w:val="00164C26"/>
    <w:rsid w:val="00321CCF"/>
    <w:rsid w:val="003B7162"/>
    <w:rsid w:val="007A51B4"/>
    <w:rsid w:val="00885B23"/>
    <w:rsid w:val="009A6B35"/>
    <w:rsid w:val="00A73864"/>
    <w:rsid w:val="00AD10E6"/>
    <w:rsid w:val="00DA5C53"/>
    <w:rsid w:val="01080A12"/>
    <w:rsid w:val="01465D58"/>
    <w:rsid w:val="014F03EF"/>
    <w:rsid w:val="01674A91"/>
    <w:rsid w:val="01692BFA"/>
    <w:rsid w:val="01714809"/>
    <w:rsid w:val="01DB7ED5"/>
    <w:rsid w:val="01F80A87"/>
    <w:rsid w:val="021D105C"/>
    <w:rsid w:val="023D0B8F"/>
    <w:rsid w:val="024E06A7"/>
    <w:rsid w:val="02597AF6"/>
    <w:rsid w:val="02781BC8"/>
    <w:rsid w:val="02881E0B"/>
    <w:rsid w:val="029F00AC"/>
    <w:rsid w:val="02A72070"/>
    <w:rsid w:val="02E34B7F"/>
    <w:rsid w:val="02F70D3E"/>
    <w:rsid w:val="02FA438B"/>
    <w:rsid w:val="03034482"/>
    <w:rsid w:val="030B2DD4"/>
    <w:rsid w:val="03100052"/>
    <w:rsid w:val="03392C07"/>
    <w:rsid w:val="033F00F2"/>
    <w:rsid w:val="034C72DC"/>
    <w:rsid w:val="034F0AF5"/>
    <w:rsid w:val="035F6CF1"/>
    <w:rsid w:val="037665D5"/>
    <w:rsid w:val="03936CB9"/>
    <w:rsid w:val="03C74F98"/>
    <w:rsid w:val="03D911C1"/>
    <w:rsid w:val="03FF4509"/>
    <w:rsid w:val="04267B2D"/>
    <w:rsid w:val="04336046"/>
    <w:rsid w:val="04365580"/>
    <w:rsid w:val="0458352F"/>
    <w:rsid w:val="045D72C7"/>
    <w:rsid w:val="046154B9"/>
    <w:rsid w:val="047828C4"/>
    <w:rsid w:val="04892F2B"/>
    <w:rsid w:val="04926F71"/>
    <w:rsid w:val="04DA0918"/>
    <w:rsid w:val="05191440"/>
    <w:rsid w:val="052878D5"/>
    <w:rsid w:val="05432019"/>
    <w:rsid w:val="054B35C3"/>
    <w:rsid w:val="05524952"/>
    <w:rsid w:val="055E0A65"/>
    <w:rsid w:val="05762C96"/>
    <w:rsid w:val="05894800"/>
    <w:rsid w:val="059135A8"/>
    <w:rsid w:val="05BE42EB"/>
    <w:rsid w:val="05DB04A3"/>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9A613C"/>
    <w:rsid w:val="07A07E9A"/>
    <w:rsid w:val="08144141"/>
    <w:rsid w:val="089A6539"/>
    <w:rsid w:val="08BF496D"/>
    <w:rsid w:val="08C23B9D"/>
    <w:rsid w:val="08DB4A20"/>
    <w:rsid w:val="08F31FA8"/>
    <w:rsid w:val="092C7268"/>
    <w:rsid w:val="09436A8B"/>
    <w:rsid w:val="09784E13"/>
    <w:rsid w:val="09842C00"/>
    <w:rsid w:val="098F629B"/>
    <w:rsid w:val="09C33728"/>
    <w:rsid w:val="09EA2DF9"/>
    <w:rsid w:val="0A1977EC"/>
    <w:rsid w:val="0A306BC3"/>
    <w:rsid w:val="0A5D3B7D"/>
    <w:rsid w:val="0A681350"/>
    <w:rsid w:val="0A981059"/>
    <w:rsid w:val="0AE40B15"/>
    <w:rsid w:val="0B2A197E"/>
    <w:rsid w:val="0B3B01C0"/>
    <w:rsid w:val="0B7F3FC7"/>
    <w:rsid w:val="0B9510F4"/>
    <w:rsid w:val="0B9A495D"/>
    <w:rsid w:val="0BA14992"/>
    <w:rsid w:val="0BB21CA6"/>
    <w:rsid w:val="0BB56CC5"/>
    <w:rsid w:val="0BD55995"/>
    <w:rsid w:val="0C0F1C1F"/>
    <w:rsid w:val="0C1452FE"/>
    <w:rsid w:val="0C236700"/>
    <w:rsid w:val="0C245EB6"/>
    <w:rsid w:val="0CA27B19"/>
    <w:rsid w:val="0CCF7855"/>
    <w:rsid w:val="0CD93263"/>
    <w:rsid w:val="0CEE4F60"/>
    <w:rsid w:val="0CF87B8D"/>
    <w:rsid w:val="0CFB767D"/>
    <w:rsid w:val="0D1A5D55"/>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D40DA"/>
    <w:rsid w:val="12296A3A"/>
    <w:rsid w:val="12386C7D"/>
    <w:rsid w:val="12693C71"/>
    <w:rsid w:val="12747CB6"/>
    <w:rsid w:val="128123D2"/>
    <w:rsid w:val="12867959"/>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C5270"/>
    <w:rsid w:val="186F1BC2"/>
    <w:rsid w:val="18C96881"/>
    <w:rsid w:val="18CA0886"/>
    <w:rsid w:val="18CE2D30"/>
    <w:rsid w:val="18E762A1"/>
    <w:rsid w:val="191E097B"/>
    <w:rsid w:val="191F64A1"/>
    <w:rsid w:val="192341E3"/>
    <w:rsid w:val="19600F94"/>
    <w:rsid w:val="19726F19"/>
    <w:rsid w:val="19751F5E"/>
    <w:rsid w:val="19932D33"/>
    <w:rsid w:val="19CB5E4C"/>
    <w:rsid w:val="19E33973"/>
    <w:rsid w:val="19FB2A6A"/>
    <w:rsid w:val="1A1F0E4F"/>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4614E"/>
    <w:rsid w:val="1E087E4C"/>
    <w:rsid w:val="1E4A5D6E"/>
    <w:rsid w:val="1EC30D1B"/>
    <w:rsid w:val="1EEB7551"/>
    <w:rsid w:val="1EEC217F"/>
    <w:rsid w:val="1F58270D"/>
    <w:rsid w:val="1F882FF2"/>
    <w:rsid w:val="1F8B366A"/>
    <w:rsid w:val="1F9574BD"/>
    <w:rsid w:val="1FA12306"/>
    <w:rsid w:val="1FAC759E"/>
    <w:rsid w:val="1FF266BE"/>
    <w:rsid w:val="20566C4C"/>
    <w:rsid w:val="208512E0"/>
    <w:rsid w:val="20AB2CE9"/>
    <w:rsid w:val="20C04E62"/>
    <w:rsid w:val="214116AB"/>
    <w:rsid w:val="214259F5"/>
    <w:rsid w:val="2158624D"/>
    <w:rsid w:val="217A0481"/>
    <w:rsid w:val="21A94385"/>
    <w:rsid w:val="21E851B1"/>
    <w:rsid w:val="21F42BC1"/>
    <w:rsid w:val="224E271B"/>
    <w:rsid w:val="22714212"/>
    <w:rsid w:val="22992BFF"/>
    <w:rsid w:val="22C407E5"/>
    <w:rsid w:val="22D14CB0"/>
    <w:rsid w:val="22F30AA5"/>
    <w:rsid w:val="23007343"/>
    <w:rsid w:val="23303437"/>
    <w:rsid w:val="233174FD"/>
    <w:rsid w:val="2335523F"/>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4E5315"/>
    <w:rsid w:val="26741610"/>
    <w:rsid w:val="26751DF6"/>
    <w:rsid w:val="26A8654C"/>
    <w:rsid w:val="26BC17D3"/>
    <w:rsid w:val="26E94069"/>
    <w:rsid w:val="26EC030B"/>
    <w:rsid w:val="270E195B"/>
    <w:rsid w:val="27160EE4"/>
    <w:rsid w:val="27172737"/>
    <w:rsid w:val="273121C1"/>
    <w:rsid w:val="27677991"/>
    <w:rsid w:val="27792C23"/>
    <w:rsid w:val="277A3B68"/>
    <w:rsid w:val="27A42993"/>
    <w:rsid w:val="27BD555B"/>
    <w:rsid w:val="27E47234"/>
    <w:rsid w:val="28061AB2"/>
    <w:rsid w:val="280C22E7"/>
    <w:rsid w:val="28295051"/>
    <w:rsid w:val="2849353B"/>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B2160A9"/>
    <w:rsid w:val="2B342280"/>
    <w:rsid w:val="2B9B05D5"/>
    <w:rsid w:val="2BA2543C"/>
    <w:rsid w:val="2BAC4B69"/>
    <w:rsid w:val="2BE041B6"/>
    <w:rsid w:val="2C532BDA"/>
    <w:rsid w:val="2C5A5D16"/>
    <w:rsid w:val="2C5A78B7"/>
    <w:rsid w:val="2C622E1D"/>
    <w:rsid w:val="2C624BCB"/>
    <w:rsid w:val="2C640943"/>
    <w:rsid w:val="2C7548FE"/>
    <w:rsid w:val="2C772424"/>
    <w:rsid w:val="2C844B41"/>
    <w:rsid w:val="2CB25B52"/>
    <w:rsid w:val="2CC31B0E"/>
    <w:rsid w:val="2D0839C4"/>
    <w:rsid w:val="2D144117"/>
    <w:rsid w:val="2D405CF2"/>
    <w:rsid w:val="2D5E35E4"/>
    <w:rsid w:val="2DA37249"/>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AA7D8C"/>
    <w:rsid w:val="32AC42BE"/>
    <w:rsid w:val="32BA306B"/>
    <w:rsid w:val="32C91500"/>
    <w:rsid w:val="32CB1F6F"/>
    <w:rsid w:val="32D00AE0"/>
    <w:rsid w:val="330A1DBD"/>
    <w:rsid w:val="332130EA"/>
    <w:rsid w:val="333C43C8"/>
    <w:rsid w:val="33811DDB"/>
    <w:rsid w:val="33DC34B5"/>
    <w:rsid w:val="33E12879"/>
    <w:rsid w:val="33EF414B"/>
    <w:rsid w:val="342235BE"/>
    <w:rsid w:val="34264730"/>
    <w:rsid w:val="34557FC2"/>
    <w:rsid w:val="34675474"/>
    <w:rsid w:val="34833930"/>
    <w:rsid w:val="34A55F9D"/>
    <w:rsid w:val="34B00BC9"/>
    <w:rsid w:val="34E62997"/>
    <w:rsid w:val="34F860CC"/>
    <w:rsid w:val="353115DE"/>
    <w:rsid w:val="353D7F83"/>
    <w:rsid w:val="35951B6D"/>
    <w:rsid w:val="359F479A"/>
    <w:rsid w:val="35E36B0D"/>
    <w:rsid w:val="362722E5"/>
    <w:rsid w:val="362F3D70"/>
    <w:rsid w:val="36301F89"/>
    <w:rsid w:val="36563EA7"/>
    <w:rsid w:val="368045CB"/>
    <w:rsid w:val="36883480"/>
    <w:rsid w:val="369938DF"/>
    <w:rsid w:val="370B658B"/>
    <w:rsid w:val="371116C7"/>
    <w:rsid w:val="373F4487"/>
    <w:rsid w:val="3757357E"/>
    <w:rsid w:val="37B35B5D"/>
    <w:rsid w:val="37B60986"/>
    <w:rsid w:val="37BC1633"/>
    <w:rsid w:val="37D03331"/>
    <w:rsid w:val="37D921E5"/>
    <w:rsid w:val="37DD2E0C"/>
    <w:rsid w:val="37EF6127"/>
    <w:rsid w:val="37FB65FF"/>
    <w:rsid w:val="38190834"/>
    <w:rsid w:val="38305B7D"/>
    <w:rsid w:val="384C4EC2"/>
    <w:rsid w:val="386D5023"/>
    <w:rsid w:val="388D05D2"/>
    <w:rsid w:val="38C06F01"/>
    <w:rsid w:val="38C569BF"/>
    <w:rsid w:val="38DB01DF"/>
    <w:rsid w:val="38E34501"/>
    <w:rsid w:val="390A424D"/>
    <w:rsid w:val="393A4E57"/>
    <w:rsid w:val="395744BD"/>
    <w:rsid w:val="397C544B"/>
    <w:rsid w:val="398243D2"/>
    <w:rsid w:val="399D5830"/>
    <w:rsid w:val="39BA4298"/>
    <w:rsid w:val="39D61F15"/>
    <w:rsid w:val="3A257964"/>
    <w:rsid w:val="3A3E27D3"/>
    <w:rsid w:val="3A4678DA"/>
    <w:rsid w:val="3A703C28"/>
    <w:rsid w:val="3A706705"/>
    <w:rsid w:val="3A777A93"/>
    <w:rsid w:val="3A85106E"/>
    <w:rsid w:val="3AC84793"/>
    <w:rsid w:val="3AE96BE3"/>
    <w:rsid w:val="3AF61300"/>
    <w:rsid w:val="3B697D24"/>
    <w:rsid w:val="3BAF79CF"/>
    <w:rsid w:val="3BB85130"/>
    <w:rsid w:val="3BCB62E9"/>
    <w:rsid w:val="3BDD601C"/>
    <w:rsid w:val="3BE67536"/>
    <w:rsid w:val="3BF61492"/>
    <w:rsid w:val="3C025A83"/>
    <w:rsid w:val="3C090BBF"/>
    <w:rsid w:val="3C17152E"/>
    <w:rsid w:val="3C6D55F2"/>
    <w:rsid w:val="3C94492D"/>
    <w:rsid w:val="3CB23005"/>
    <w:rsid w:val="3CEA023A"/>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1320BB8"/>
    <w:rsid w:val="41405083"/>
    <w:rsid w:val="41452699"/>
    <w:rsid w:val="416B7C26"/>
    <w:rsid w:val="417108A0"/>
    <w:rsid w:val="41936AC3"/>
    <w:rsid w:val="419E1DAA"/>
    <w:rsid w:val="41CA1DD4"/>
    <w:rsid w:val="41CF4659"/>
    <w:rsid w:val="41DB1250"/>
    <w:rsid w:val="41FD3E50"/>
    <w:rsid w:val="42044303"/>
    <w:rsid w:val="42106F48"/>
    <w:rsid w:val="421F113C"/>
    <w:rsid w:val="42220C2D"/>
    <w:rsid w:val="42366486"/>
    <w:rsid w:val="425132C0"/>
    <w:rsid w:val="426D634C"/>
    <w:rsid w:val="42921365"/>
    <w:rsid w:val="42BE6BA7"/>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A14066"/>
    <w:rsid w:val="44D22496"/>
    <w:rsid w:val="44DA134B"/>
    <w:rsid w:val="44EF12BE"/>
    <w:rsid w:val="4521341D"/>
    <w:rsid w:val="455530C7"/>
    <w:rsid w:val="45806396"/>
    <w:rsid w:val="45BB5620"/>
    <w:rsid w:val="46543991"/>
    <w:rsid w:val="46971BE9"/>
    <w:rsid w:val="46FD57C4"/>
    <w:rsid w:val="472471F5"/>
    <w:rsid w:val="473016F6"/>
    <w:rsid w:val="475A49C5"/>
    <w:rsid w:val="475A6773"/>
    <w:rsid w:val="47716A9C"/>
    <w:rsid w:val="48083ADD"/>
    <w:rsid w:val="48D43A0A"/>
    <w:rsid w:val="48D6699E"/>
    <w:rsid w:val="48F13107"/>
    <w:rsid w:val="490908C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673E0C"/>
    <w:rsid w:val="4C8C5620"/>
    <w:rsid w:val="4CA50490"/>
    <w:rsid w:val="4CAA3CF8"/>
    <w:rsid w:val="4CCB656B"/>
    <w:rsid w:val="4CCD336D"/>
    <w:rsid w:val="4D4759EB"/>
    <w:rsid w:val="4D5D0D6B"/>
    <w:rsid w:val="4D681722"/>
    <w:rsid w:val="4D7560B4"/>
    <w:rsid w:val="4D804F96"/>
    <w:rsid w:val="4DA8648A"/>
    <w:rsid w:val="4E0839BF"/>
    <w:rsid w:val="4E127DA7"/>
    <w:rsid w:val="4E41243B"/>
    <w:rsid w:val="4E557601"/>
    <w:rsid w:val="4E8F13F8"/>
    <w:rsid w:val="4E916F1E"/>
    <w:rsid w:val="4EB44A1C"/>
    <w:rsid w:val="4EC217CD"/>
    <w:rsid w:val="4EDB463D"/>
    <w:rsid w:val="4EF65579"/>
    <w:rsid w:val="4F9F4AC1"/>
    <w:rsid w:val="4FA40ED3"/>
    <w:rsid w:val="4FB31116"/>
    <w:rsid w:val="4FCB46B2"/>
    <w:rsid w:val="4FF249A8"/>
    <w:rsid w:val="50011E81"/>
    <w:rsid w:val="500842E2"/>
    <w:rsid w:val="50167979"/>
    <w:rsid w:val="507765E7"/>
    <w:rsid w:val="50903B0E"/>
    <w:rsid w:val="50EE06F3"/>
    <w:rsid w:val="50F465B6"/>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F55F06"/>
    <w:rsid w:val="53114AD1"/>
    <w:rsid w:val="53424C8B"/>
    <w:rsid w:val="5381347D"/>
    <w:rsid w:val="53A70F92"/>
    <w:rsid w:val="53C102A5"/>
    <w:rsid w:val="5405326E"/>
    <w:rsid w:val="54403DE2"/>
    <w:rsid w:val="54752E3E"/>
    <w:rsid w:val="54843081"/>
    <w:rsid w:val="549459BA"/>
    <w:rsid w:val="5495703C"/>
    <w:rsid w:val="54C45476"/>
    <w:rsid w:val="54C87412"/>
    <w:rsid w:val="54D264E2"/>
    <w:rsid w:val="54DB2963"/>
    <w:rsid w:val="55030E5B"/>
    <w:rsid w:val="550C2A76"/>
    <w:rsid w:val="550E1E22"/>
    <w:rsid w:val="55125F07"/>
    <w:rsid w:val="551636DF"/>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C6769E"/>
    <w:rsid w:val="59372DB8"/>
    <w:rsid w:val="59404954"/>
    <w:rsid w:val="596D67DA"/>
    <w:rsid w:val="59710078"/>
    <w:rsid w:val="59831B59"/>
    <w:rsid w:val="5A47527D"/>
    <w:rsid w:val="5A6279C1"/>
    <w:rsid w:val="5A675B6B"/>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853E3A"/>
    <w:rsid w:val="5C992492"/>
    <w:rsid w:val="5CB85FBE"/>
    <w:rsid w:val="5CFA4C4B"/>
    <w:rsid w:val="5D0F4E8E"/>
    <w:rsid w:val="5D1F428F"/>
    <w:rsid w:val="5D261FBF"/>
    <w:rsid w:val="5D3F048D"/>
    <w:rsid w:val="5D4D6706"/>
    <w:rsid w:val="5D8979D6"/>
    <w:rsid w:val="5DB02629"/>
    <w:rsid w:val="5DF72B16"/>
    <w:rsid w:val="5E2D4789"/>
    <w:rsid w:val="5E4B4D32"/>
    <w:rsid w:val="5E5D6E1D"/>
    <w:rsid w:val="5E631F59"/>
    <w:rsid w:val="5E8B1BDC"/>
    <w:rsid w:val="5EE75F74"/>
    <w:rsid w:val="5EFF7ED4"/>
    <w:rsid w:val="5F37149E"/>
    <w:rsid w:val="5FC73F84"/>
    <w:rsid w:val="5FD916A6"/>
    <w:rsid w:val="600A2FD4"/>
    <w:rsid w:val="60343D42"/>
    <w:rsid w:val="60377D1B"/>
    <w:rsid w:val="6051650D"/>
    <w:rsid w:val="61244C90"/>
    <w:rsid w:val="6132067F"/>
    <w:rsid w:val="6151078F"/>
    <w:rsid w:val="61525C94"/>
    <w:rsid w:val="617701F5"/>
    <w:rsid w:val="61BC02FE"/>
    <w:rsid w:val="61ED495B"/>
    <w:rsid w:val="620B6B90"/>
    <w:rsid w:val="62262318"/>
    <w:rsid w:val="622814F0"/>
    <w:rsid w:val="624327CD"/>
    <w:rsid w:val="62830E1C"/>
    <w:rsid w:val="62A72D7A"/>
    <w:rsid w:val="62F12229"/>
    <w:rsid w:val="630755A9"/>
    <w:rsid w:val="633C4BB3"/>
    <w:rsid w:val="635C3B47"/>
    <w:rsid w:val="63862972"/>
    <w:rsid w:val="63A765F8"/>
    <w:rsid w:val="63B4752E"/>
    <w:rsid w:val="6416019A"/>
    <w:rsid w:val="64202DC6"/>
    <w:rsid w:val="64803865"/>
    <w:rsid w:val="64A31301"/>
    <w:rsid w:val="64D2701D"/>
    <w:rsid w:val="64F34BE1"/>
    <w:rsid w:val="65D20E3C"/>
    <w:rsid w:val="65D22CB3"/>
    <w:rsid w:val="660B1854"/>
    <w:rsid w:val="66423CCD"/>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D1A5D"/>
    <w:rsid w:val="6B953B3D"/>
    <w:rsid w:val="6B9B2D32"/>
    <w:rsid w:val="6BA51E03"/>
    <w:rsid w:val="6BB95134"/>
    <w:rsid w:val="6BC0730B"/>
    <w:rsid w:val="6BEB1F0C"/>
    <w:rsid w:val="6C367856"/>
    <w:rsid w:val="6C67530A"/>
    <w:rsid w:val="6CB70040"/>
    <w:rsid w:val="6CBD2CAF"/>
    <w:rsid w:val="6CC36D8E"/>
    <w:rsid w:val="6CD36AC3"/>
    <w:rsid w:val="6CD429A0"/>
    <w:rsid w:val="6D277080"/>
    <w:rsid w:val="6D2A25C0"/>
    <w:rsid w:val="6D3B2A1F"/>
    <w:rsid w:val="6D433682"/>
    <w:rsid w:val="6D503E24"/>
    <w:rsid w:val="6D622AEB"/>
    <w:rsid w:val="6D8A305E"/>
    <w:rsid w:val="6D8B6DD7"/>
    <w:rsid w:val="6DD62748"/>
    <w:rsid w:val="6DD93FE6"/>
    <w:rsid w:val="6DF50ACA"/>
    <w:rsid w:val="6E014D3E"/>
    <w:rsid w:val="6E22773B"/>
    <w:rsid w:val="6E2C05BA"/>
    <w:rsid w:val="6E31797E"/>
    <w:rsid w:val="6E396833"/>
    <w:rsid w:val="6E421B8B"/>
    <w:rsid w:val="6ED07197"/>
    <w:rsid w:val="6EF939F6"/>
    <w:rsid w:val="6F110A10"/>
    <w:rsid w:val="6F38459B"/>
    <w:rsid w:val="6F457B85"/>
    <w:rsid w:val="6F530F2F"/>
    <w:rsid w:val="6F710981"/>
    <w:rsid w:val="6F877593"/>
    <w:rsid w:val="6FC00FB9"/>
    <w:rsid w:val="6FCC0900"/>
    <w:rsid w:val="6FDA3886"/>
    <w:rsid w:val="6FDE2037"/>
    <w:rsid w:val="6FE70C3C"/>
    <w:rsid w:val="6FF142A0"/>
    <w:rsid w:val="7007308C"/>
    <w:rsid w:val="70367AE5"/>
    <w:rsid w:val="706A1742"/>
    <w:rsid w:val="70802DBA"/>
    <w:rsid w:val="708D3108"/>
    <w:rsid w:val="70AE2FF1"/>
    <w:rsid w:val="70B3270F"/>
    <w:rsid w:val="70D475D2"/>
    <w:rsid w:val="714F21F0"/>
    <w:rsid w:val="71502811"/>
    <w:rsid w:val="7156162D"/>
    <w:rsid w:val="715E4F2E"/>
    <w:rsid w:val="71836742"/>
    <w:rsid w:val="719A3A8C"/>
    <w:rsid w:val="71A52B5D"/>
    <w:rsid w:val="71BA0296"/>
    <w:rsid w:val="71BB647E"/>
    <w:rsid w:val="71D40DB8"/>
    <w:rsid w:val="72192C03"/>
    <w:rsid w:val="725327A6"/>
    <w:rsid w:val="725E2D0C"/>
    <w:rsid w:val="72844F5F"/>
    <w:rsid w:val="72B172DF"/>
    <w:rsid w:val="72C24452"/>
    <w:rsid w:val="73010636"/>
    <w:rsid w:val="73133AF6"/>
    <w:rsid w:val="73312BAE"/>
    <w:rsid w:val="733F0D8F"/>
    <w:rsid w:val="733F48EB"/>
    <w:rsid w:val="737443BB"/>
    <w:rsid w:val="73B84176"/>
    <w:rsid w:val="73C3345B"/>
    <w:rsid w:val="73C3376E"/>
    <w:rsid w:val="73C53042"/>
    <w:rsid w:val="73CF3EC1"/>
    <w:rsid w:val="74016013"/>
    <w:rsid w:val="741144D9"/>
    <w:rsid w:val="74123DAE"/>
    <w:rsid w:val="74341F76"/>
    <w:rsid w:val="743D3201"/>
    <w:rsid w:val="74503606"/>
    <w:rsid w:val="745A5E80"/>
    <w:rsid w:val="745D14CD"/>
    <w:rsid w:val="748527D2"/>
    <w:rsid w:val="74936C9D"/>
    <w:rsid w:val="74D00DC8"/>
    <w:rsid w:val="74D177C5"/>
    <w:rsid w:val="75502DDF"/>
    <w:rsid w:val="758030BA"/>
    <w:rsid w:val="758D5DE2"/>
    <w:rsid w:val="759727BC"/>
    <w:rsid w:val="75D457BF"/>
    <w:rsid w:val="75EA5667"/>
    <w:rsid w:val="760614C5"/>
    <w:rsid w:val="76232458"/>
    <w:rsid w:val="76261D92"/>
    <w:rsid w:val="76286848"/>
    <w:rsid w:val="766F54E7"/>
    <w:rsid w:val="769048FD"/>
    <w:rsid w:val="76960CC6"/>
    <w:rsid w:val="76B13D52"/>
    <w:rsid w:val="76C515AB"/>
    <w:rsid w:val="77103E01"/>
    <w:rsid w:val="772462D2"/>
    <w:rsid w:val="77A45665"/>
    <w:rsid w:val="77D54B30"/>
    <w:rsid w:val="77E43CB3"/>
    <w:rsid w:val="77F4039A"/>
    <w:rsid w:val="77F50D46"/>
    <w:rsid w:val="77F57C6E"/>
    <w:rsid w:val="784F55D0"/>
    <w:rsid w:val="78774B27"/>
    <w:rsid w:val="788829E3"/>
    <w:rsid w:val="78AF606F"/>
    <w:rsid w:val="78BD078C"/>
    <w:rsid w:val="794744F9"/>
    <w:rsid w:val="794E3ADA"/>
    <w:rsid w:val="79952518"/>
    <w:rsid w:val="79D216C3"/>
    <w:rsid w:val="79DA711C"/>
    <w:rsid w:val="79E93803"/>
    <w:rsid w:val="7A1268B5"/>
    <w:rsid w:val="7A17211E"/>
    <w:rsid w:val="7A4078C7"/>
    <w:rsid w:val="7A4F7B0A"/>
    <w:rsid w:val="7A505630"/>
    <w:rsid w:val="7A7C01D3"/>
    <w:rsid w:val="7A84390D"/>
    <w:rsid w:val="7ACF47A6"/>
    <w:rsid w:val="7B022DCE"/>
    <w:rsid w:val="7B0C1557"/>
    <w:rsid w:val="7B6C6499"/>
    <w:rsid w:val="7BC462D5"/>
    <w:rsid w:val="7C1728A9"/>
    <w:rsid w:val="7C484810"/>
    <w:rsid w:val="7C5036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10868</Words>
  <Characters>13433</Characters>
  <Lines>0</Lines>
  <Paragraphs>0</Paragraphs>
  <TotalTime>9</TotalTime>
  <ScaleCrop>false</ScaleCrop>
  <LinksUpToDate>false</LinksUpToDate>
  <CharactersWithSpaces>14211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2024-03-30T00:58:04Z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644BBFF616A744E2B4A3B339CE019973_13</vt:lpwstr>
  </property>
</Properties>
</file>