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firstLine="1920" w:firstLineChars="800"/>
        <w:jc w:val="both"/>
        <w:rPr>
          <w:rFonts w:ascii="黑体" w:hAnsi="黑体" w:eastAsia="黑体" w:cs="黑体"/>
          <w:bCs/>
          <w:color w:val="000000"/>
        </w:rPr>
      </w:pPr>
      <w:r>
        <w:rPr>
          <w:rFonts w:ascii="黑体" w:hAnsi="黑体" w:eastAsia="黑体" w:cs="黑体"/>
          <w:bCs/>
        </w:rPr>
        <w:t xml:space="preserve">      </w:t>
      </w:r>
      <w:r>
        <w:rPr>
          <w:rFonts w:hint="eastAsia" w:ascii="黑体" w:hAnsi="黑体" w:eastAsia="黑体" w:cs="黑体"/>
          <w:bCs/>
          <w:lang w:val="en-US" w:eastAsia="zh-CN"/>
        </w:rPr>
        <w:t xml:space="preserve">        </w:t>
      </w:r>
    </w:p>
    <w:p>
      <w:pPr>
        <w:pStyle w:val="16"/>
        <w:jc w:val="both"/>
        <w:rPr>
          <w:rFonts w:ascii="黑体" w:hAnsi="黑体" w:eastAsia="黑体" w:cs="黑体"/>
          <w:bCs/>
        </w:rPr>
      </w:pPr>
      <w:r>
        <w:drawing>
          <wp:anchor distT="0" distB="0" distL="114300" distR="114300" simplePos="0" relativeHeight="251661312" behindDoc="0" locked="0" layoutInCell="1" allowOverlap="1">
            <wp:simplePos x="0" y="0"/>
            <wp:positionH relativeFrom="column">
              <wp:posOffset>1749425</wp:posOffset>
            </wp:positionH>
            <wp:positionV relativeFrom="paragraph">
              <wp:posOffset>109220</wp:posOffset>
            </wp:positionV>
            <wp:extent cx="1730375" cy="1720215"/>
            <wp:effectExtent l="0" t="0" r="3175" b="1333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730375" cy="1720215"/>
                    </a:xfrm>
                    <a:prstGeom prst="rect">
                      <a:avLst/>
                    </a:prstGeom>
                    <a:noFill/>
                    <a:ln>
                      <a:noFill/>
                    </a:ln>
                  </pic:spPr>
                </pic:pic>
              </a:graphicData>
            </a:graphic>
          </wp:anchor>
        </w:drawing>
      </w:r>
    </w:p>
    <w:p>
      <w:pPr>
        <w:pStyle w:val="16"/>
        <w:jc w:val="right"/>
        <w:rPr>
          <w:rFonts w:ascii="黑体" w:hAnsi="黑体" w:eastAsia="黑体" w:cs="黑体"/>
          <w:bCs/>
        </w:rPr>
      </w:pPr>
    </w:p>
    <w:p>
      <w:pPr>
        <w:pStyle w:val="16"/>
        <w:ind w:right="960"/>
        <w:jc w:val="right"/>
        <w:rPr>
          <w:rFonts w:hint="eastAsia" w:ascii="黑体" w:hAnsi="黑体" w:eastAsia="黑体" w:cs="黑体"/>
          <w:bCs/>
          <w:lang w:val="en-US" w:eastAsia="zh-CN"/>
        </w:rPr>
      </w:pPr>
      <w:r>
        <w:rPr>
          <w:rFonts w:hint="eastAsia" w:ascii="黑体" w:hAnsi="黑体" w:eastAsia="黑体" w:cs="黑体"/>
          <w:bCs/>
          <w:lang w:val="en-US" w:eastAsia="zh-CN"/>
        </w:rPr>
        <w:t xml:space="preserve">                               </w:t>
      </w:r>
    </w:p>
    <w:p>
      <w:pPr>
        <w:pStyle w:val="16"/>
        <w:jc w:val="center"/>
        <w:rPr>
          <w:rFonts w:hint="eastAsia" w:ascii="黑体" w:hAnsi="黑体" w:eastAsia="黑体" w:cs="黑体"/>
          <w:bCs/>
          <w:color w:val="auto"/>
          <w:lang w:eastAsia="zh-CN"/>
        </w:rPr>
      </w:pPr>
    </w:p>
    <w:p>
      <w:pPr>
        <w:pStyle w:val="16"/>
        <w:jc w:val="center"/>
        <w:outlineLvl w:val="0"/>
        <w:rPr>
          <w:rFonts w:hint="eastAsia" w:ascii="宋体" w:hAnsi="宋体" w:cs="宋体"/>
          <w:b/>
          <w:bCs w:val="0"/>
          <w:color w:val="auto"/>
          <w:w w:val="80"/>
          <w:sz w:val="72"/>
          <w:szCs w:val="72"/>
          <w:u w:val="none"/>
          <w:lang w:val="en-US" w:eastAsia="zh-CN"/>
        </w:rPr>
      </w:pPr>
      <w:bookmarkStart w:id="0" w:name="_Toc4197"/>
      <w:bookmarkStart w:id="1" w:name="_Toc30860"/>
      <w:bookmarkStart w:id="2" w:name="_Toc32106"/>
    </w:p>
    <w:p>
      <w:pPr>
        <w:pStyle w:val="16"/>
        <w:jc w:val="center"/>
        <w:outlineLvl w:val="0"/>
        <w:rPr>
          <w:rFonts w:hint="eastAsia" w:ascii="宋体" w:hAnsi="宋体" w:cs="宋体"/>
          <w:b/>
          <w:bCs w:val="0"/>
          <w:color w:val="auto"/>
          <w:w w:val="80"/>
          <w:sz w:val="72"/>
          <w:szCs w:val="72"/>
          <w:u w:val="none"/>
          <w:lang w:val="en-US" w:eastAsia="zh-CN"/>
        </w:rPr>
      </w:pPr>
    </w:p>
    <w:p>
      <w:pPr>
        <w:pStyle w:val="16"/>
        <w:jc w:val="center"/>
        <w:outlineLvl w:val="0"/>
        <w:rPr>
          <w:rFonts w:ascii="黑体" w:hAnsi="黑体" w:eastAsia="黑体" w:cs="黑体"/>
          <w:bCs/>
          <w:color w:val="auto"/>
        </w:rPr>
      </w:pPr>
      <w:bookmarkStart w:id="3" w:name="_Toc4440"/>
      <w:bookmarkStart w:id="4" w:name="_Toc14435"/>
      <w:r>
        <w:rPr>
          <w:rFonts w:hint="eastAsia" w:ascii="宋体" w:hAnsi="宋体" w:cs="宋体"/>
          <w:b/>
          <w:bCs w:val="0"/>
          <w:color w:val="auto"/>
          <w:w w:val="80"/>
          <w:sz w:val="72"/>
          <w:szCs w:val="72"/>
          <w:u w:val="none"/>
          <w:lang w:val="en-US" w:eastAsia="zh-CN"/>
        </w:rPr>
        <w:t>挥发性有机物检测</w:t>
      </w:r>
      <w:bookmarkEnd w:id="0"/>
      <w:bookmarkEnd w:id="1"/>
      <w:bookmarkEnd w:id="2"/>
      <w:bookmarkEnd w:id="3"/>
      <w:bookmarkEnd w:id="4"/>
    </w:p>
    <w:p>
      <w:pPr>
        <w:pStyle w:val="16"/>
        <w:ind w:right="960"/>
        <w:jc w:val="center"/>
        <w:rPr>
          <w:rFonts w:hint="eastAsia" w:ascii="黑体" w:hAnsi="黑体" w:eastAsia="黑体" w:cs="黑体"/>
          <w:bCs/>
          <w:color w:val="auto"/>
          <w:lang w:val="en-US" w:eastAsia="zh-CN"/>
        </w:rPr>
      </w:pPr>
    </w:p>
    <w:p>
      <w:pPr>
        <w:pStyle w:val="16"/>
        <w:jc w:val="center"/>
        <w:rPr>
          <w:rFonts w:ascii="宋体" w:hAnsi="宋体" w:cs="黑体"/>
          <w:b/>
          <w:bCs/>
          <w:color w:val="auto"/>
          <w:sz w:val="28"/>
          <w:szCs w:val="28"/>
        </w:rPr>
      </w:pPr>
      <w:r>
        <w:rPr>
          <w:rFonts w:hint="eastAsia" w:ascii="宋体" w:hAnsi="宋体" w:eastAsia="宋体" w:cs="宋体"/>
          <w:b/>
          <w:bCs w:val="0"/>
          <w:color w:val="auto"/>
          <w:spacing w:val="227"/>
          <w:w w:val="80"/>
          <w:sz w:val="96"/>
          <w:szCs w:val="96"/>
          <w:lang w:val="en-US" w:eastAsia="zh-CN"/>
        </w:rPr>
        <w:t>分析报告</w:t>
      </w:r>
    </w:p>
    <w:p>
      <w:pPr>
        <w:pStyle w:val="16"/>
        <w:jc w:val="both"/>
        <w:rPr>
          <w:rFonts w:ascii="宋体" w:hAnsi="宋体" w:cs="黑体"/>
          <w:b/>
          <w:bCs/>
          <w:color w:val="auto"/>
          <w:sz w:val="28"/>
          <w:szCs w:val="28"/>
        </w:rPr>
      </w:pPr>
    </w:p>
    <w:p>
      <w:pPr>
        <w:pStyle w:val="2"/>
        <w:jc w:val="left"/>
        <w:rPr>
          <w:rFonts w:hint="eastAsia" w:ascii="宋体" w:hAnsi="宋体" w:eastAsia="宋体" w:cs="宋体"/>
          <w:b/>
          <w:color w:val="auto"/>
          <w:w w:val="95"/>
          <w:sz w:val="28"/>
        </w:rPr>
      </w:pPr>
    </w:p>
    <w:p>
      <w:pPr>
        <w:pStyle w:val="16"/>
        <w:spacing w:line="360" w:lineRule="auto"/>
        <w:ind w:firstLine="1687" w:firstLineChars="600"/>
        <w:rPr>
          <w:rFonts w:ascii="宋体" w:hAnsi="宋体" w:eastAsia="宋体" w:cs="宋体"/>
          <w:b/>
          <w:bCs/>
          <w:color w:val="auto"/>
          <w:sz w:val="28"/>
          <w:szCs w:val="28"/>
        </w:rPr>
      </w:pPr>
    </w:p>
    <w:p>
      <w:pPr>
        <w:pStyle w:val="16"/>
        <w:spacing w:line="360" w:lineRule="auto"/>
        <w:ind w:firstLine="1687" w:firstLineChars="600"/>
        <w:rPr>
          <w:rFonts w:hint="eastAsia" w:ascii="宋体" w:hAnsi="宋体" w:cs="宋体"/>
          <w:b/>
          <w:bCs/>
          <w:color w:val="auto"/>
          <w:sz w:val="28"/>
          <w:szCs w:val="28"/>
          <w:u w:val="single"/>
          <w:lang w:val="en-US" w:eastAsia="zh-CN"/>
        </w:rPr>
      </w:pPr>
      <w:r>
        <w:rPr>
          <w:rFonts w:ascii="宋体" w:hAnsi="宋体" w:eastAsia="宋体" w:cs="宋体"/>
          <w:b/>
          <w:bCs/>
          <w:color w:val="auto"/>
          <w:sz w:val="28"/>
          <w:szCs w:val="28"/>
        </w:rPr>
        <w:t>检测项目：</w:t>
      </w:r>
      <w:r>
        <w:rPr>
          <w:rFonts w:hint="eastAsia" w:ascii="宋体" w:hAnsi="宋体" w:cs="宋体"/>
          <w:b/>
          <w:bCs/>
          <w:color w:val="auto"/>
          <w:sz w:val="28"/>
          <w:szCs w:val="28"/>
          <w:u w:val="single"/>
          <w:lang w:val="en-US" w:eastAsia="zh-CN"/>
        </w:rPr>
        <w:t>PAM水合工序、储运装置</w:t>
      </w:r>
    </w:p>
    <w:p>
      <w:pPr>
        <w:pStyle w:val="16"/>
        <w:spacing w:line="360" w:lineRule="auto"/>
        <w:ind w:firstLine="1687" w:firstLineChars="600"/>
        <w:jc w:val="left"/>
        <w:rPr>
          <w:rFonts w:hint="eastAsia" w:ascii="宋体" w:hAnsi="宋体" w:cs="宋体"/>
          <w:b/>
          <w:bCs/>
          <w:color w:val="auto"/>
          <w:sz w:val="28"/>
          <w:szCs w:val="28"/>
          <w:highlight w:val="none"/>
          <w:u w:val="single"/>
          <w:lang w:val="en-US" w:eastAsia="zh-CN"/>
        </w:rPr>
      </w:pPr>
      <w:r>
        <w:rPr>
          <w:rFonts w:hint="eastAsia" w:ascii="宋体" w:hAnsi="宋体" w:eastAsia="宋体" w:cs="宋体"/>
          <w:b/>
          <w:bCs/>
          <w:color w:val="auto"/>
          <w:sz w:val="28"/>
          <w:szCs w:val="28"/>
          <w:lang w:val="en-US" w:eastAsia="zh-CN"/>
        </w:rPr>
        <w:t>受检</w:t>
      </w:r>
      <w:r>
        <w:rPr>
          <w:rFonts w:ascii="宋体" w:hAnsi="宋体" w:eastAsia="宋体" w:cs="宋体"/>
          <w:b/>
          <w:bCs/>
          <w:color w:val="auto"/>
          <w:sz w:val="28"/>
          <w:szCs w:val="28"/>
        </w:rPr>
        <w:t>单位：</w:t>
      </w:r>
      <w:r>
        <w:rPr>
          <w:rFonts w:hint="eastAsia" w:ascii="宋体" w:hAnsi="宋体" w:cs="宋体"/>
          <w:b/>
          <w:bCs/>
          <w:color w:val="auto"/>
          <w:sz w:val="28"/>
          <w:szCs w:val="28"/>
          <w:highlight w:val="none"/>
          <w:u w:val="single"/>
          <w:lang w:val="en-US" w:eastAsia="zh-CN"/>
        </w:rPr>
        <w:t>山东华油万达化学有限公司</w:t>
      </w:r>
    </w:p>
    <w:p>
      <w:pPr>
        <w:pStyle w:val="16"/>
        <w:spacing w:line="360" w:lineRule="auto"/>
        <w:ind w:firstLine="1687" w:firstLineChars="600"/>
        <w:jc w:val="left"/>
        <w:rPr>
          <w:rFonts w:hint="default" w:asciiTheme="minorEastAsia" w:hAnsiTheme="minorEastAsia" w:eastAsiaTheme="minorEastAsia" w:cstheme="minorEastAsia"/>
          <w:b/>
          <w:bCs/>
          <w:i w:val="0"/>
          <w:iCs w:val="0"/>
          <w:caps w:val="0"/>
          <w:color w:val="000000" w:themeColor="text1"/>
          <w:spacing w:val="0"/>
          <w:sz w:val="28"/>
          <w:szCs w:val="28"/>
          <w:highlight w:val="none"/>
          <w:u w:val="single"/>
          <w:shd w:val="clear" w:fill="FFFFFF"/>
          <w:lang w:val="en-US" w:eastAsia="zh-CN"/>
          <w14:textFill>
            <w14:solidFill>
              <w14:schemeClr w14:val="tx1"/>
            </w14:solidFill>
          </w14:textFill>
        </w:rPr>
      </w:pPr>
      <w:r>
        <w:rPr>
          <w:rFonts w:hint="eastAsia" w:ascii="宋体" w:hAnsi="宋体" w:cs="宋体"/>
          <w:b/>
          <w:bCs/>
          <w:sz w:val="28"/>
          <w:szCs w:val="28"/>
          <w:lang w:val="en-US" w:eastAsia="zh-CN"/>
        </w:rPr>
        <w:t>检测</w:t>
      </w:r>
      <w:r>
        <w:rPr>
          <w:rFonts w:hint="eastAsia" w:ascii="宋体" w:hAnsi="宋体" w:eastAsia="宋体" w:cs="宋体"/>
          <w:b/>
          <w:bCs/>
          <w:sz w:val="28"/>
          <w:szCs w:val="28"/>
          <w:lang w:val="en-US" w:eastAsia="zh-CN"/>
        </w:rPr>
        <w:t>地点</w:t>
      </w:r>
      <w:r>
        <w:rPr>
          <w:rFonts w:ascii="宋体" w:hAnsi="宋体" w:eastAsia="宋体" w:cs="宋体"/>
          <w:b/>
          <w:bCs/>
          <w:sz w:val="28"/>
          <w:szCs w:val="28"/>
        </w:rPr>
        <w:t>：</w:t>
      </w:r>
      <w:r>
        <w:rPr>
          <w:rFonts w:hint="eastAsia" w:ascii="宋体" w:hAnsi="宋体" w:cs="宋体"/>
          <w:b/>
          <w:bCs/>
          <w:color w:val="000000" w:themeColor="text1"/>
          <w:sz w:val="28"/>
          <w:szCs w:val="28"/>
          <w:highlight w:val="none"/>
          <w:u w:val="single"/>
          <w:lang w:val="en-US" w:eastAsia="zh-CN"/>
          <w14:textFill>
            <w14:solidFill>
              <w14:schemeClr w14:val="tx1"/>
            </w14:solidFill>
          </w14:textFill>
        </w:rPr>
        <w:t>山东省东营市垦利区胜坨镇政府驻地</w:t>
      </w:r>
    </w:p>
    <w:p>
      <w:pPr>
        <w:jc w:val="left"/>
        <w:rPr>
          <w:rFonts w:asciiTheme="minorEastAsia" w:hAnsiTheme="minorEastAsia"/>
          <w:szCs w:val="21"/>
        </w:rPr>
      </w:pPr>
    </w:p>
    <w:p>
      <w:pPr>
        <w:jc w:val="left"/>
        <w:rPr>
          <w:rFonts w:asciiTheme="minorEastAsia" w:hAnsiTheme="minorEastAsia"/>
          <w:szCs w:val="21"/>
        </w:rPr>
      </w:pPr>
    </w:p>
    <w:p>
      <w:pPr>
        <w:pStyle w:val="2"/>
      </w:pPr>
    </w:p>
    <w:p>
      <w:pPr>
        <w:jc w:val="left"/>
        <w:rPr>
          <w:rFonts w:asciiTheme="minorEastAsia" w:hAnsiTheme="minorEastAsia"/>
          <w:szCs w:val="21"/>
        </w:rPr>
      </w:pPr>
    </w:p>
    <w:p>
      <w:pPr>
        <w:jc w:val="center"/>
        <w:rPr>
          <w:rFonts w:hint="eastAsia" w:ascii="宋体" w:hAnsi="宋体" w:eastAsia="宋体"/>
          <w:b/>
          <w:sz w:val="30"/>
          <w:szCs w:val="30"/>
          <w:lang w:eastAsia="zh-CN"/>
        </w:rPr>
      </w:pPr>
      <w:r>
        <w:rPr>
          <w:rFonts w:hint="eastAsia" w:ascii="宋体" w:hAnsi="宋体" w:eastAsia="宋体"/>
          <w:b/>
          <w:sz w:val="30"/>
          <w:szCs w:val="30"/>
          <w:lang w:eastAsia="zh-CN"/>
        </w:rPr>
        <w:t>山东泓启环保技术服务有限公司</w:t>
      </w:r>
    </w:p>
    <w:p>
      <w:pPr>
        <w:jc w:val="center"/>
        <w:rPr>
          <w:rFonts w:hint="default" w:ascii="宋体" w:hAnsi="宋体" w:eastAsia="宋体"/>
          <w:b/>
          <w:sz w:val="30"/>
          <w:szCs w:val="30"/>
          <w:lang w:val="en-US" w:eastAsia="zh-CN"/>
        </w:rPr>
      </w:pPr>
      <w:r>
        <w:rPr>
          <w:rFonts w:hint="eastAsia" w:ascii="宋体" w:hAnsi="宋体" w:eastAsia="宋体"/>
          <w:b/>
          <w:sz w:val="30"/>
          <w:szCs w:val="30"/>
          <w:lang w:val="en-US" w:eastAsia="zh-CN"/>
        </w:rPr>
        <w:t>202</w:t>
      </w:r>
      <w:r>
        <w:rPr>
          <w:rFonts w:hint="eastAsia" w:ascii="宋体" w:hAnsi="宋体"/>
          <w:b/>
          <w:sz w:val="30"/>
          <w:szCs w:val="30"/>
          <w:lang w:val="en-US" w:eastAsia="zh-CN"/>
        </w:rPr>
        <w:t>3</w:t>
      </w:r>
      <w:r>
        <w:rPr>
          <w:rFonts w:hint="eastAsia" w:ascii="宋体" w:hAnsi="宋体" w:eastAsia="宋体"/>
          <w:b/>
          <w:sz w:val="30"/>
          <w:szCs w:val="30"/>
          <w:lang w:val="en-US" w:eastAsia="zh-CN"/>
        </w:rPr>
        <w:t>年</w:t>
      </w:r>
      <w:r>
        <w:rPr>
          <w:rFonts w:hint="eastAsia" w:ascii="宋体" w:hAnsi="宋体"/>
          <w:b/>
          <w:sz w:val="30"/>
          <w:szCs w:val="30"/>
          <w:lang w:val="en-US" w:eastAsia="zh-CN"/>
        </w:rPr>
        <w:t>04</w:t>
      </w:r>
      <w:r>
        <w:rPr>
          <w:rFonts w:hint="eastAsia" w:ascii="宋体" w:hAnsi="宋体" w:eastAsia="宋体"/>
          <w:b/>
          <w:sz w:val="30"/>
          <w:szCs w:val="30"/>
          <w:lang w:val="en-US" w:eastAsia="zh-CN"/>
        </w:rPr>
        <w:t>月</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2926" w:firstLineChars="1100"/>
        <w:jc w:val="left"/>
        <w:textAlignment w:val="auto"/>
        <w:rPr>
          <w:rFonts w:hint="default" w:ascii="宋体" w:hAnsi="宋体" w:cs="宋体"/>
          <w:b w:val="0"/>
          <w:bCs/>
          <w:color w:val="000000"/>
          <w:w w:val="95"/>
          <w:sz w:val="28"/>
          <w:szCs w:val="28"/>
          <w:u w:val="single"/>
          <w:lang w:val="en-US" w:eastAsia="zh-CN"/>
        </w:rPr>
      </w:pPr>
    </w:p>
    <w:p>
      <w:pPr>
        <w:spacing w:line="360" w:lineRule="auto"/>
        <w:jc w:val="center"/>
        <w:rPr>
          <w:rFonts w:hint="eastAsia" w:ascii="宋体" w:hAnsi="宋体" w:eastAsia="宋体" w:cs="宋体"/>
          <w:bCs/>
          <w:caps/>
          <w:sz w:val="21"/>
          <w:szCs w:val="21"/>
          <w:lang w:val="en-US" w:eastAsia="zh-CN" w:bidi="ar-SA"/>
        </w:rPr>
      </w:pPr>
      <w:r>
        <w:rPr>
          <w:rFonts w:hint="eastAsia" w:ascii="宋体" w:hAnsi="宋体" w:eastAsia="宋体" w:cs="宋体"/>
          <w:b/>
          <w:bCs/>
          <w:sz w:val="24"/>
          <w:szCs w:val="24"/>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_Toc4440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挥发性有机物检测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_Toc4440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_Toc8322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资质文件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_Toc8322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_Toc23155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_Toc23155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_Toc13891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本报告规范性引用文件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_Toc13891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_Toc1563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1.挥发性有机物（VOCs）泄漏检测与修复结果报告单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_Toc1563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_Toc11306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1.</w:t>
      </w:r>
      <w:r>
        <w:rPr>
          <w:rFonts w:hint="eastAsia" w:ascii="宋体" w:hAnsi="宋体" w:eastAsia="宋体" w:cs="宋体"/>
          <w:sz w:val="21"/>
          <w:szCs w:val="21"/>
        </w:rPr>
        <w:t>企业</w:t>
      </w:r>
      <w:r>
        <w:rPr>
          <w:rFonts w:hint="eastAsia" w:ascii="宋体" w:hAnsi="宋体" w:eastAsia="宋体" w:cs="宋体"/>
          <w:sz w:val="21"/>
          <w:szCs w:val="21"/>
          <w:lang w:val="en-US" w:eastAsia="zh-CN"/>
        </w:rPr>
        <w:t>基本情况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_Toc11306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_Toc31470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1.1</w:t>
      </w:r>
      <w:r>
        <w:rPr>
          <w:rFonts w:hint="eastAsia" w:ascii="宋体" w:hAnsi="宋体" w:eastAsia="宋体" w:cs="宋体"/>
          <w:sz w:val="21"/>
          <w:szCs w:val="21"/>
        </w:rPr>
        <w:t>企业名称、性质、地址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组织架构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_Toc31470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_Toc1723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1.2企业简介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_Toc1723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_Toc2613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1.3开展 LDAR 基本情况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_Toc2613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_Toc7569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2.项目建立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_Toc7569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_Toc4815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2.1项目组筹建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_Toc4815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_Toc19220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2.2密封点建档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_Toc19220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_Toc10362 </w:instrText>
      </w:r>
      <w:r>
        <w:rPr>
          <w:rFonts w:hint="eastAsia" w:ascii="宋体" w:hAnsi="宋体" w:eastAsia="宋体" w:cs="宋体"/>
          <w:bCs/>
          <w:caps/>
          <w:sz w:val="21"/>
          <w:szCs w:val="21"/>
        </w:rPr>
        <w:fldChar w:fldCharType="separate"/>
      </w:r>
      <w:r>
        <w:rPr>
          <w:rFonts w:hint="eastAsia" w:ascii="宋体" w:hAnsi="宋体" w:eastAsia="宋体" w:cs="宋体"/>
          <w:bCs w:val="0"/>
          <w:sz w:val="21"/>
          <w:szCs w:val="21"/>
        </w:rPr>
        <w:t>检测密封点识别及编号流程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_Toc10362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_Toc21268 </w:instrText>
      </w:r>
      <w:r>
        <w:rPr>
          <w:rFonts w:hint="eastAsia" w:ascii="宋体" w:hAnsi="宋体" w:eastAsia="宋体" w:cs="宋体"/>
          <w:bCs/>
          <w:caps/>
          <w:sz w:val="21"/>
          <w:szCs w:val="21"/>
        </w:rPr>
        <w:fldChar w:fldCharType="separate"/>
      </w:r>
      <w:r>
        <w:rPr>
          <w:rFonts w:hint="eastAsia" w:ascii="宋体" w:hAnsi="宋体" w:eastAsia="宋体" w:cs="宋体"/>
          <w:sz w:val="21"/>
          <w:szCs w:val="21"/>
        </w:rPr>
        <w:t>1.熟悉厂区环境 ，划分装置区域。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_Toc21268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_Toc19090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2.3装置适合性分析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_Toc19090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_Toc32551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2.4物料状态分析表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_Toc32551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_Toc19823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2.5受控装置分析清单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_Toc19823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_Toc9970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2.6装置适合性分析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_Toc9970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_Toc29706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2.7响应因子分析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_Toc29706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_Toc19402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 现场</w:t>
      </w:r>
      <w:r>
        <w:rPr>
          <w:rFonts w:hint="eastAsia" w:ascii="宋体" w:hAnsi="宋体" w:eastAsia="宋体" w:cs="宋体"/>
          <w:sz w:val="21"/>
          <w:szCs w:val="21"/>
        </w:rPr>
        <w:t>检测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_Toc19402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_Toc25504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3.1检测设备及辅助设备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_Toc25504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_Toc27216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现场作业安全检查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_Toc27216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_Toc10582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3.2 现场检测情况录入企业 LDAR 软件管理系统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_Toc10582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_Toc31219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3.3 现场检测记录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_Toc31219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_Toc2618 </w:instrText>
      </w:r>
      <w:r>
        <w:rPr>
          <w:rFonts w:hint="eastAsia" w:ascii="宋体" w:hAnsi="宋体" w:eastAsia="宋体" w:cs="宋体"/>
          <w:bCs/>
          <w:caps/>
          <w:sz w:val="21"/>
          <w:szCs w:val="21"/>
        </w:rPr>
        <w:fldChar w:fldCharType="separate"/>
      </w:r>
      <w:r>
        <w:rPr>
          <w:rFonts w:hint="eastAsia" w:ascii="宋体" w:hAnsi="宋体" w:eastAsia="宋体" w:cs="宋体"/>
          <w:bCs/>
          <w:sz w:val="21"/>
          <w:szCs w:val="21"/>
          <w:lang w:val="en-US" w:eastAsia="zh-CN"/>
        </w:rPr>
        <w:t>4.泄漏与修复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_Toc2618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_Toc4480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4.1泄漏</w:t>
      </w:r>
      <w:r>
        <w:rPr>
          <w:rFonts w:hint="eastAsia" w:ascii="宋体" w:hAnsi="宋体" w:eastAsia="宋体" w:cs="宋体"/>
          <w:sz w:val="21"/>
          <w:szCs w:val="21"/>
        </w:rPr>
        <w:t>密封点统计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_Toc4480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_Toc22546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4.2</w:t>
      </w:r>
      <w:r>
        <w:rPr>
          <w:rFonts w:hint="eastAsia" w:ascii="宋体" w:hAnsi="宋体" w:eastAsia="宋体" w:cs="宋体"/>
          <w:sz w:val="21"/>
          <w:szCs w:val="21"/>
        </w:rPr>
        <w:t>泄漏点维修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_Toc22546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_Toc8481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4.2.1</w:t>
      </w:r>
      <w:r>
        <w:rPr>
          <w:rFonts w:hint="eastAsia" w:ascii="宋体" w:hAnsi="宋体" w:eastAsia="宋体" w:cs="宋体"/>
          <w:sz w:val="21"/>
          <w:szCs w:val="21"/>
        </w:rPr>
        <w:t>泄漏点维修规定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_Toc8481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_Toc6613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4.3排放量、泄漏量统计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_Toc6613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_Toc30082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4.4开展 LDAR 环境效益分析，实施 LDAR 后的效益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_Toc30082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_Toc3274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5.持续LDAR</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_Toc3274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_Toc5367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5.1 LDAR环境和经济效益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_Toc5367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_Toc27538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5.2下季度LDAR工作计划</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_Toc27538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9"/>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_Toc20171 </w:instrText>
      </w:r>
      <w:r>
        <w:rPr>
          <w:rFonts w:hint="eastAsia" w:ascii="宋体" w:hAnsi="宋体" w:eastAsia="宋体" w:cs="宋体"/>
          <w:bCs/>
          <w:caps/>
          <w:sz w:val="21"/>
          <w:szCs w:val="21"/>
        </w:rPr>
        <w:fldChar w:fldCharType="separate"/>
      </w:r>
      <w:r>
        <w:rPr>
          <w:rFonts w:hint="eastAsia" w:ascii="宋体" w:hAnsi="宋体" w:eastAsia="宋体" w:cs="宋体"/>
          <w:sz w:val="21"/>
          <w:szCs w:val="21"/>
        </w:rPr>
        <w:t>附表</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bCs/>
          <w:caps w:val="0"/>
          <w:spacing w:val="0"/>
          <w:kern w:val="2"/>
          <w:sz w:val="21"/>
          <w:szCs w:val="21"/>
          <w:lang w:val="en-US" w:eastAsia="zh-CN" w:bidi="en-US"/>
        </w:rPr>
        <w:t xml:space="preserve"> </w:t>
      </w:r>
      <w:r>
        <w:rPr>
          <w:rFonts w:hint="eastAsia" w:ascii="宋体" w:hAnsi="宋体" w:cs="宋体"/>
          <w:bCs/>
          <w:caps w:val="0"/>
          <w:spacing w:val="0"/>
          <w:kern w:val="2"/>
          <w:sz w:val="21"/>
          <w:szCs w:val="21"/>
          <w:lang w:val="en-US" w:eastAsia="zh-CN" w:bidi="en-US"/>
        </w:rPr>
        <w:t>山东华油万达化学有限公司</w:t>
      </w:r>
      <w:r>
        <w:rPr>
          <w:rFonts w:hint="eastAsia" w:ascii="宋体" w:hAnsi="宋体" w:eastAsia="宋体" w:cs="宋体"/>
          <w:bCs/>
          <w:caps w:val="0"/>
          <w:spacing w:val="0"/>
          <w:kern w:val="2"/>
          <w:sz w:val="21"/>
          <w:szCs w:val="21"/>
          <w:lang w:val="en-US" w:eastAsia="zh-CN" w:bidi="en-US"/>
        </w:rPr>
        <w:t>2023年LDAR汇总表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_Toc20171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_Toc22058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 xml:space="preserve">6.1 </w:t>
      </w:r>
      <w:r>
        <w:rPr>
          <w:rFonts w:hint="eastAsia" w:ascii="宋体" w:hAnsi="宋体" w:cs="宋体"/>
          <w:bCs/>
          <w:sz w:val="21"/>
          <w:szCs w:val="21"/>
          <w:lang w:val="en-US" w:eastAsia="zh-CN"/>
        </w:rPr>
        <w:t>山东华油万达化学有限公司</w:t>
      </w:r>
      <w:r>
        <w:rPr>
          <w:rFonts w:hint="eastAsia" w:ascii="宋体" w:hAnsi="宋体" w:eastAsia="宋体" w:cs="宋体"/>
          <w:bCs/>
          <w:sz w:val="21"/>
          <w:szCs w:val="21"/>
          <w:lang w:val="en-US" w:eastAsia="zh-CN"/>
        </w:rPr>
        <w:t>2023</w:t>
      </w:r>
      <w:r>
        <w:rPr>
          <w:rFonts w:hint="eastAsia" w:ascii="宋体" w:hAnsi="宋体" w:eastAsia="宋体" w:cs="宋体"/>
          <w:sz w:val="21"/>
          <w:szCs w:val="21"/>
          <w:lang w:val="en-US" w:eastAsia="zh-CN"/>
        </w:rPr>
        <w:t>年LDAR装置统计表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_Toc22058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bookmarkStart w:id="123" w:name="_GoBack"/>
      <w:bookmarkEnd w:id="123"/>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_Toc5734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 xml:space="preserve">6.2 </w:t>
      </w:r>
      <w:r>
        <w:rPr>
          <w:rFonts w:hint="eastAsia" w:ascii="宋体" w:hAnsi="宋体" w:cs="宋体"/>
          <w:bCs/>
          <w:sz w:val="21"/>
          <w:szCs w:val="21"/>
          <w:lang w:val="en-US" w:eastAsia="zh-CN"/>
        </w:rPr>
        <w:t>山东华油万达化学有限公司</w:t>
      </w:r>
      <w:r>
        <w:rPr>
          <w:rFonts w:hint="eastAsia" w:ascii="宋体" w:hAnsi="宋体" w:eastAsia="宋体" w:cs="宋体"/>
          <w:sz w:val="21"/>
          <w:szCs w:val="21"/>
          <w:lang w:val="en-US" w:eastAsia="zh-CN"/>
        </w:rPr>
        <w:t>2023年LDAR普查表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_Toc5734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0"/>
        <w:tabs>
          <w:tab w:val="right" w:leader="dot" w:pos="8299"/>
        </w:tabs>
        <w:rPr>
          <w:rFonts w:hint="eastAsia" w:ascii="宋体" w:hAnsi="宋体" w:eastAsia="宋体" w:cs="宋体"/>
          <w:sz w:val="21"/>
          <w:szCs w:val="21"/>
        </w:rPr>
      </w:pPr>
      <w:r>
        <w:rPr>
          <w:rFonts w:hint="eastAsia" w:ascii="宋体" w:hAnsi="宋体" w:eastAsia="宋体" w:cs="宋体"/>
          <w:bCs/>
          <w:caps/>
          <w:sz w:val="21"/>
          <w:szCs w:val="21"/>
        </w:rPr>
        <w:fldChar w:fldCharType="begin"/>
      </w:r>
      <w:r>
        <w:rPr>
          <w:rFonts w:hint="eastAsia" w:ascii="宋体" w:hAnsi="宋体" w:eastAsia="宋体" w:cs="宋体"/>
          <w:bCs/>
          <w:caps/>
          <w:sz w:val="21"/>
          <w:szCs w:val="21"/>
        </w:rPr>
        <w:instrText xml:space="preserve"> HYPERLINK \l _Toc19782 </w:instrText>
      </w:r>
      <w:r>
        <w:rPr>
          <w:rFonts w:hint="eastAsia" w:ascii="宋体" w:hAnsi="宋体" w:eastAsia="宋体" w:cs="宋体"/>
          <w:bCs/>
          <w:caps/>
          <w:sz w:val="21"/>
          <w:szCs w:val="21"/>
        </w:rPr>
        <w:fldChar w:fldCharType="separate"/>
      </w:r>
      <w:r>
        <w:rPr>
          <w:rFonts w:hint="eastAsia" w:ascii="宋体" w:hAnsi="宋体" w:eastAsia="宋体" w:cs="宋体"/>
          <w:sz w:val="21"/>
          <w:szCs w:val="21"/>
          <w:lang w:val="en-US" w:eastAsia="zh-CN"/>
        </w:rPr>
        <w:t xml:space="preserve">6.3 </w:t>
      </w:r>
      <w:r>
        <w:rPr>
          <w:rFonts w:hint="eastAsia" w:ascii="宋体" w:hAnsi="宋体" w:cs="宋体"/>
          <w:sz w:val="21"/>
          <w:szCs w:val="21"/>
          <w:lang w:val="en-US" w:eastAsia="zh-CN"/>
        </w:rPr>
        <w:t>山东华油万达化学有限公司</w:t>
      </w:r>
      <w:r>
        <w:rPr>
          <w:rFonts w:hint="eastAsia" w:ascii="宋体" w:hAnsi="宋体" w:eastAsia="宋体" w:cs="宋体"/>
          <w:sz w:val="21"/>
          <w:szCs w:val="21"/>
          <w:lang w:val="en-US" w:eastAsia="zh-CN"/>
        </w:rPr>
        <w:t>2023年泄漏点复检表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_Toc19782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caps/>
          <w:sz w:val="21"/>
          <w:szCs w:val="21"/>
        </w:rPr>
        <w:fldChar w:fldCharType="end"/>
      </w:r>
    </w:p>
    <w:p>
      <w:pPr>
        <w:pStyle w:val="16"/>
        <w:spacing w:line="360" w:lineRule="auto"/>
        <w:jc w:val="center"/>
        <w:rPr>
          <w:rFonts w:hint="eastAsia" w:ascii="宋体" w:hAnsi="宋体" w:eastAsia="宋体" w:cs="宋体"/>
          <w:b/>
          <w:bCs/>
          <w:color w:val="000000"/>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single" w:color="auto" w:sz="4" w:space="1"/>
            <w:right w:val="none" w:sz="0" w:space="0"/>
          </w:pgBorders>
          <w:pgNumType w:fmt="decimal"/>
          <w:cols w:space="720" w:num="1"/>
          <w:titlePg/>
          <w:rtlGutter w:val="0"/>
          <w:docGrid w:type="lines" w:linePitch="332" w:charSpace="0"/>
        </w:sectPr>
      </w:pPr>
      <w:r>
        <w:rPr>
          <w:rFonts w:hint="eastAsia" w:ascii="宋体" w:hAnsi="宋体" w:eastAsia="宋体" w:cs="宋体"/>
          <w:bCs/>
          <w:caps/>
          <w:sz w:val="21"/>
          <w:szCs w:val="21"/>
        </w:rPr>
        <w:fldChar w:fldCharType="end"/>
      </w:r>
    </w:p>
    <w:p>
      <w:pPr>
        <w:pStyle w:val="3"/>
        <w:numPr>
          <w:ilvl w:val="0"/>
          <w:numId w:val="0"/>
        </w:numPr>
        <w:bidi w:val="0"/>
        <w:ind w:leftChars="0"/>
        <w:jc w:val="both"/>
        <w:rPr>
          <w:rFonts w:hint="eastAsia"/>
          <w:color w:val="auto"/>
          <w:sz w:val="36"/>
          <w:szCs w:val="36"/>
          <w:lang w:val="en-US" w:eastAsia="zh-CN"/>
        </w:rPr>
      </w:pPr>
    </w:p>
    <w:p>
      <w:pPr>
        <w:pStyle w:val="3"/>
        <w:numPr>
          <w:ilvl w:val="0"/>
          <w:numId w:val="0"/>
        </w:numPr>
        <w:bidi w:val="0"/>
        <w:ind w:leftChars="0"/>
        <w:jc w:val="center"/>
        <w:rPr>
          <w:rFonts w:hint="default"/>
          <w:color w:val="auto"/>
          <w:sz w:val="36"/>
          <w:szCs w:val="36"/>
          <w:lang w:val="en-US" w:eastAsia="zh-CN"/>
        </w:rPr>
      </w:pPr>
      <w:bookmarkStart w:id="5" w:name="_Toc8322"/>
      <w:bookmarkStart w:id="6" w:name="_Toc5904"/>
      <w:r>
        <w:rPr>
          <w:lang w:val="en-US" w:eastAsia="zh-CN"/>
        </w:rPr>
        <w:drawing>
          <wp:anchor distT="0" distB="0" distL="114300" distR="114300" simplePos="0" relativeHeight="251665408"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4"/>
                    <a:stretch>
                      <a:fillRect/>
                    </a:stretch>
                  </pic:blipFill>
                  <pic:spPr>
                    <a:xfrm>
                      <a:off x="0" y="0"/>
                      <a:ext cx="4991735" cy="7053580"/>
                    </a:xfrm>
                    <a:prstGeom prst="rect">
                      <a:avLst/>
                    </a:prstGeom>
                  </pic:spPr>
                </pic:pic>
              </a:graphicData>
            </a:graphic>
          </wp:anchor>
        </w:drawing>
      </w:r>
      <w:r>
        <w:rPr>
          <w:rFonts w:hint="eastAsia"/>
          <w:color w:val="auto"/>
          <w:sz w:val="36"/>
          <w:szCs w:val="36"/>
          <w:lang w:val="en-US" w:eastAsia="zh-CN"/>
        </w:rPr>
        <w:t>资质文件</w:t>
      </w:r>
      <w:bookmarkEnd w:id="5"/>
      <w:bookmarkEnd w:id="6"/>
    </w:p>
    <w:p>
      <w:pPr>
        <w:rPr>
          <w:rFonts w:hint="eastAsia"/>
          <w:lang w:val="en-US" w:eastAsia="zh-CN"/>
        </w:rPr>
        <w:sectPr>
          <w:headerReference r:id="rId7" w:type="default"/>
          <w:footerReference r:id="rId8" w:type="default"/>
          <w:pgSz w:w="11906" w:h="16838"/>
          <w:pgMar w:top="1134" w:right="1134" w:bottom="1134" w:left="1134" w:header="567" w:footer="567" w:gutter="0"/>
          <w:pgBorders>
            <w:top w:val="none" w:sz="0" w:space="0"/>
            <w:left w:val="none" w:sz="0" w:space="0"/>
            <w:bottom w:val="single" w:color="auto" w:sz="4" w:space="1"/>
            <w:right w:val="none" w:sz="0" w:space="0"/>
          </w:pgBorders>
          <w:pgNumType w:fmt="decimal" w:start="1"/>
          <w:cols w:space="425" w:num="1"/>
          <w:docGrid w:type="lines" w:linePitch="312" w:charSpace="0"/>
        </w:sectPr>
      </w:pPr>
    </w:p>
    <w:p>
      <w:pPr>
        <w:pStyle w:val="3"/>
        <w:numPr>
          <w:ilvl w:val="0"/>
          <w:numId w:val="0"/>
        </w:numPr>
        <w:ind w:leftChars="0"/>
        <w:jc w:val="both"/>
        <w:rPr>
          <w:rFonts w:hint="eastAsia" w:ascii="宋体" w:hAnsi="宋体" w:cs="宋体"/>
          <w:color w:val="auto"/>
          <w:lang w:val="en-US" w:eastAsia="zh-CN"/>
        </w:rPr>
      </w:pPr>
      <w:bookmarkStart w:id="7" w:name="_Toc27415"/>
    </w:p>
    <w:p>
      <w:pPr>
        <w:pStyle w:val="3"/>
        <w:numPr>
          <w:ilvl w:val="0"/>
          <w:numId w:val="0"/>
        </w:numPr>
        <w:ind w:leftChars="0"/>
        <w:jc w:val="center"/>
        <w:rPr>
          <w:rFonts w:hint="default" w:ascii="宋体" w:hAnsi="宋体" w:eastAsia="宋体" w:cs="宋体"/>
          <w:color w:val="auto"/>
          <w:lang w:val="en-US" w:eastAsia="zh-CN"/>
        </w:rPr>
      </w:pPr>
      <w:bookmarkStart w:id="8" w:name="_Toc4215"/>
      <w:bookmarkStart w:id="9" w:name="_Toc23155"/>
      <w:r>
        <w:rPr>
          <w:rFonts w:hint="eastAsia" w:ascii="宋体" w:hAnsi="宋体" w:cs="宋体"/>
          <w:color w:val="auto"/>
          <w:lang w:val="en-US" w:eastAsia="zh-CN"/>
        </w:rPr>
        <w:t>说明</w:t>
      </w:r>
      <w:bookmarkEnd w:id="7"/>
      <w:bookmarkEnd w:id="8"/>
      <w:bookmarkEnd w:id="9"/>
    </w:p>
    <w:p>
      <w:pPr>
        <w:spacing w:line="480" w:lineRule="auto"/>
        <w:ind w:left="482"/>
        <w:rPr>
          <w:rFonts w:hint="eastAsia" w:ascii="宋体" w:hAnsi="宋体" w:eastAsia="宋体" w:cs="宋体"/>
          <w:sz w:val="21"/>
          <w:szCs w:val="21"/>
        </w:rPr>
      </w:pPr>
      <w:bookmarkStart w:id="10" w:name="_Toc27027"/>
      <w:r>
        <w:rPr>
          <w:rFonts w:hint="eastAsia" w:ascii="宋体" w:hAnsi="宋体" w:eastAsia="宋体" w:cs="宋体"/>
          <w:sz w:val="21"/>
          <w:szCs w:val="21"/>
        </w:rPr>
        <w:t>一、对检测数据如有异议，请于收到报告之日起十五日内向本公司提出。</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二、报告无编制、审批、批准人签字无效。</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三、本报告未盖我公司</w:t>
      </w:r>
      <w:r>
        <w:rPr>
          <w:rFonts w:hint="eastAsia" w:ascii="宋体" w:hAnsi="宋体" w:eastAsia="宋体" w:cs="宋体"/>
          <w:sz w:val="21"/>
          <w:szCs w:val="21"/>
          <w:lang w:val="en-US" w:eastAsia="zh-CN"/>
        </w:rPr>
        <w:t>公</w:t>
      </w:r>
      <w:r>
        <w:rPr>
          <w:rFonts w:hint="eastAsia" w:ascii="宋体" w:hAnsi="宋体" w:eastAsia="宋体" w:cs="宋体"/>
          <w:sz w:val="21"/>
          <w:szCs w:val="21"/>
        </w:rPr>
        <w:t>章、骑缝章及CMA章无效，报告涂改无效。</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四、未经本公司书面批准，不得复制报告和做评优、审批及商品宣传用，经同意复制的报告应加盖</w:t>
      </w:r>
      <w:r>
        <w:rPr>
          <w:rFonts w:hint="eastAsia" w:ascii="宋体" w:hAnsi="宋体" w:eastAsia="宋体" w:cs="宋体"/>
          <w:sz w:val="21"/>
          <w:szCs w:val="21"/>
          <w:lang w:val="en-US" w:eastAsia="zh-CN"/>
        </w:rPr>
        <w:t>山东泓启环保技术服务有限公司公章（全文复制除外）。</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五、本报告分为正本和副本，正本交客户，副本连同原始记录一并存档。</w:t>
      </w:r>
    </w:p>
    <w:p>
      <w:pPr>
        <w:ind w:left="480"/>
        <w:rPr>
          <w:rFonts w:hint="eastAsia" w:ascii="宋体" w:hAnsi="宋体" w:eastAsia="宋体" w:cs="宋体"/>
          <w:sz w:val="21"/>
          <w:szCs w:val="21"/>
        </w:rPr>
      </w:pPr>
    </w:p>
    <w:p>
      <w:pPr>
        <w:spacing w:line="480" w:lineRule="auto"/>
        <w:rPr>
          <w:rFonts w:hint="eastAsia" w:ascii="宋体" w:hAnsi="宋体" w:eastAsia="宋体" w:cs="宋体"/>
          <w:sz w:val="21"/>
          <w:szCs w:val="21"/>
        </w:rPr>
      </w:pP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检测机构：</w:t>
      </w:r>
      <w:r>
        <w:rPr>
          <w:rFonts w:hint="eastAsia" w:ascii="宋体" w:hAnsi="宋体" w:eastAsia="宋体" w:cs="宋体"/>
          <w:sz w:val="21"/>
          <w:szCs w:val="21"/>
          <w:lang w:val="en-US" w:eastAsia="zh-CN"/>
        </w:rPr>
        <w:t>山东泓启环保技术服务有限公司</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山东省东营市开发区运河路661号世誉建材广场1幢434号</w:t>
      </w:r>
    </w:p>
    <w:p>
      <w:pPr>
        <w:spacing w:line="480" w:lineRule="auto"/>
        <w:ind w:left="482"/>
        <w:rPr>
          <w:rFonts w:hint="eastAsia" w:ascii="宋体" w:hAnsi="宋体" w:eastAsia="宋体" w:cs="宋体"/>
          <w:sz w:val="21"/>
          <w:szCs w:val="21"/>
        </w:rPr>
      </w:pPr>
      <w:r>
        <w:rPr>
          <w:rFonts w:hint="eastAsia" w:ascii="宋体" w:hAnsi="宋体" w:eastAsia="宋体" w:cs="宋体"/>
          <w:sz w:val="21"/>
          <w:szCs w:val="21"/>
        </w:rPr>
        <w:t>邮政编码：257000</w:t>
      </w:r>
    </w:p>
    <w:p>
      <w:pPr>
        <w:spacing w:line="480" w:lineRule="auto"/>
        <w:ind w:left="482"/>
        <w:rPr>
          <w:rFonts w:hint="eastAsia"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eastAsia="宋体" w:cs="宋体"/>
          <w:sz w:val="21"/>
          <w:szCs w:val="21"/>
          <w:lang w:val="en-US" w:eastAsia="zh-CN"/>
        </w:rPr>
        <w:t>18006472782</w:t>
      </w: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eastAsia" w:ascii="宋体" w:hAnsi="宋体" w:cs="宋体"/>
          <w:color w:val="auto"/>
          <w:lang w:val="en-US" w:eastAsia="zh-CN"/>
        </w:rPr>
      </w:pPr>
    </w:p>
    <w:p>
      <w:pPr>
        <w:pStyle w:val="3"/>
        <w:numPr>
          <w:ilvl w:val="0"/>
          <w:numId w:val="0"/>
        </w:numPr>
        <w:ind w:leftChars="0"/>
        <w:jc w:val="center"/>
        <w:rPr>
          <w:rFonts w:hint="default" w:ascii="宋体" w:hAnsi="宋体" w:eastAsia="宋体" w:cs="宋体"/>
          <w:color w:val="auto"/>
          <w:lang w:val="en-US" w:eastAsia="zh-CN"/>
        </w:rPr>
      </w:pPr>
      <w:bookmarkStart w:id="11" w:name="_Toc13891"/>
      <w:bookmarkStart w:id="12" w:name="_Toc12519"/>
      <w:r>
        <w:rPr>
          <w:rFonts w:hint="eastAsia" w:ascii="宋体" w:hAnsi="宋体" w:cs="宋体"/>
          <w:color w:val="auto"/>
          <w:lang w:val="en-US" w:eastAsia="zh-CN"/>
        </w:rPr>
        <w:t>本报告规范性引用文件</w:t>
      </w:r>
      <w:bookmarkEnd w:id="10"/>
      <w:bookmarkEnd w:id="11"/>
      <w:bookmarkEnd w:id="12"/>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《挥发性有机物无组织排放控制标准》GB 37822—2019</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z w:val="21"/>
          <w:szCs w:val="21"/>
        </w:rPr>
        <w:t>GB31570—2015</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z w:val="21"/>
          <w:szCs w:val="21"/>
        </w:rPr>
        <w:t>GB31571—2015</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z w:val="21"/>
          <w:szCs w:val="21"/>
        </w:rPr>
        <w:t>GB31572—2015</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《东营市挥发性有机物泄漏检测与修复（LDAR）实施技术导则》</w:t>
      </w:r>
    </w:p>
    <w:p>
      <w:pPr>
        <w:rPr>
          <w:rFonts w:hint="default"/>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p>
      <w:pPr>
        <w:pStyle w:val="3"/>
        <w:numPr>
          <w:ilvl w:val="0"/>
          <w:numId w:val="0"/>
        </w:numPr>
        <w:bidi w:val="0"/>
        <w:ind w:leftChars="0"/>
        <w:rPr>
          <w:rFonts w:hint="eastAsia" w:cs="宋体"/>
          <w:color w:val="auto"/>
          <w:lang w:val="en-US" w:eastAsia="zh-CN"/>
        </w:rPr>
      </w:pPr>
    </w:p>
    <w:tbl>
      <w:tblPr>
        <w:tblStyle w:val="12"/>
        <w:tblpPr w:leftFromText="180" w:rightFromText="180" w:vertAnchor="page" w:horzAnchor="page" w:tblpX="1293" w:tblpY="2142"/>
        <w:tblW w:w="484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9"/>
        <w:gridCol w:w="1937"/>
        <w:gridCol w:w="1148"/>
        <w:gridCol w:w="1255"/>
        <w:gridCol w:w="691"/>
        <w:gridCol w:w="871"/>
        <w:gridCol w:w="447"/>
        <w:gridCol w:w="162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bookmarkStart w:id="13" w:name="_Toc1563"/>
            <w:r>
              <w:rPr>
                <w:rFonts w:hint="eastAsia" w:ascii="宋体" w:hAnsi="宋体" w:eastAsia="宋体" w:cs="宋体"/>
                <w:sz w:val="21"/>
                <w:szCs w:val="21"/>
              </w:rPr>
              <w:t>项目名称</w:t>
            </w:r>
          </w:p>
        </w:tc>
        <w:tc>
          <w:tcPr>
            <w:tcW w:w="4177" w:type="pct"/>
            <w:gridSpan w:val="7"/>
            <w:noWrap w:val="0"/>
            <w:vAlign w:val="center"/>
          </w:tcPr>
          <w:p>
            <w:pPr>
              <w:pStyle w:val="16"/>
              <w:spacing w:line="360" w:lineRule="auto"/>
              <w:jc w:val="center"/>
              <w:rPr>
                <w:rFonts w:hint="eastAsia" w:ascii="宋体" w:hAnsi="宋体" w:eastAsia="宋体" w:cs="宋体"/>
                <w:sz w:val="21"/>
                <w:szCs w:val="21"/>
                <w:lang w:val="en-US" w:eastAsia="zh-CN"/>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山东华油万达化学有限公司</w:t>
            </w:r>
            <w:r>
              <w:rPr>
                <w:rFonts w:hint="eastAsia" w:ascii="宋体" w:hAnsi="宋体" w:eastAsia="宋体" w:cs="宋体"/>
                <w:sz w:val="21"/>
                <w:szCs w:val="21"/>
                <w:lang w:eastAsia="zh-CN"/>
              </w:rPr>
              <w:t>泄漏检测</w:t>
            </w:r>
            <w:r>
              <w:rPr>
                <w:rFonts w:hint="eastAsia" w:ascii="宋体" w:hAnsi="宋体" w:eastAsia="宋体" w:cs="宋体"/>
                <w:sz w:val="21"/>
                <w:szCs w:val="21"/>
              </w:rPr>
              <w:t>与修复</w:t>
            </w:r>
            <w:r>
              <w:rPr>
                <w:rFonts w:hint="eastAsia" w:ascii="宋体" w:hAnsi="宋体" w:cs="宋体"/>
                <w:sz w:val="21"/>
                <w:szCs w:val="21"/>
                <w:lang w:val="en-US" w:eastAsia="zh-CN"/>
              </w:rPr>
              <w:t>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委托单位</w:t>
            </w:r>
          </w:p>
        </w:tc>
        <w:tc>
          <w:tcPr>
            <w:tcW w:w="4177" w:type="pct"/>
            <w:gridSpan w:val="7"/>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山东华油万达化学有限公司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检测单位</w:t>
            </w:r>
          </w:p>
        </w:tc>
        <w:tc>
          <w:tcPr>
            <w:tcW w:w="4177" w:type="pct"/>
            <w:gridSpan w:val="7"/>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检测地点</w:t>
            </w:r>
          </w:p>
        </w:tc>
        <w:tc>
          <w:tcPr>
            <w:tcW w:w="4177" w:type="pct"/>
            <w:gridSpan w:val="7"/>
            <w:noWrap w:val="0"/>
            <w:vAlign w:val="center"/>
          </w:tcPr>
          <w:p>
            <w:pPr>
              <w:pStyle w:val="16"/>
              <w:spacing w:line="360" w:lineRule="auto"/>
              <w:ind w:firstLine="2520" w:firstLineChars="1200"/>
              <w:jc w:val="both"/>
              <w:rPr>
                <w:rFonts w:hint="eastAsia" w:ascii="宋体" w:hAnsi="宋体" w:eastAsia="宋体" w:cs="宋体"/>
                <w:sz w:val="21"/>
                <w:szCs w:val="21"/>
                <w:lang w:val="en-US" w:eastAsia="zh-CN"/>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山东省东营市垦利区胜坨镇政府驻地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检测装置</w:t>
            </w:r>
          </w:p>
        </w:tc>
        <w:tc>
          <w:tcPr>
            <w:tcW w:w="4177" w:type="pct"/>
            <w:gridSpan w:val="7"/>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电解液项目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检测起始日期</w:t>
            </w:r>
          </w:p>
        </w:tc>
        <w:tc>
          <w:tcPr>
            <w:tcW w:w="2272" w:type="pct"/>
            <w:gridSpan w:val="3"/>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2023年04月03日</w:t>
            </w:r>
          </w:p>
        </w:tc>
        <w:tc>
          <w:tcPr>
            <w:tcW w:w="818" w:type="pct"/>
            <w:gridSpan w:val="2"/>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检测截止日期</w:t>
            </w:r>
          </w:p>
        </w:tc>
        <w:tc>
          <w:tcPr>
            <w:tcW w:w="1086" w:type="pct"/>
            <w:gridSpan w:val="2"/>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2023年04月03日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48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检测</w:t>
            </w:r>
            <w:r>
              <w:rPr>
                <w:rFonts w:hint="eastAsia" w:ascii="宋体" w:hAnsi="宋体" w:eastAsia="宋体" w:cs="宋体"/>
                <w:sz w:val="21"/>
                <w:szCs w:val="21"/>
                <w:lang w:val="en-US" w:eastAsia="zh-CN"/>
              </w:rPr>
              <w:t>设备</w:t>
            </w:r>
          </w:p>
        </w:tc>
        <w:tc>
          <w:tcPr>
            <w:tcW w:w="2272" w:type="pct"/>
            <w:gridSpan w:val="3"/>
            <w:noWrap w:val="0"/>
            <w:vAlign w:val="center"/>
          </w:tcPr>
          <w:p>
            <w:pPr>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仪器名称：</w:t>
            </w:r>
            <w:r>
              <w:rPr>
                <w:rFonts w:hint="eastAsia" w:ascii="宋体" w:hAnsi="宋体" w:eastAsia="宋体" w:cs="宋体"/>
                <w:sz w:val="21"/>
                <w:szCs w:val="21"/>
                <w:lang w:eastAsia="zh-CN"/>
              </w:rPr>
              <w:t>便携式有毒挥发气体分析仪</w:t>
            </w:r>
          </w:p>
          <w:p>
            <w:pPr>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仪器型号：ZR-3130</w:t>
            </w:r>
          </w:p>
          <w:p>
            <w:pPr>
              <w:spacing w:line="240" w:lineRule="auto"/>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仪器编号：T-003、T-004、T-005</w:t>
            </w:r>
          </w:p>
        </w:tc>
        <w:tc>
          <w:tcPr>
            <w:tcW w:w="818" w:type="pct"/>
            <w:gridSpan w:val="2"/>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表征方式①</w:t>
            </w:r>
          </w:p>
        </w:tc>
        <w:tc>
          <w:tcPr>
            <w:tcW w:w="1086" w:type="pct"/>
            <w:gridSpan w:val="2"/>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vMerge w:val="restart"/>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仪器校准</w:t>
            </w:r>
          </w:p>
        </w:tc>
        <w:tc>
          <w:tcPr>
            <w:tcW w:w="2272" w:type="pct"/>
            <w:gridSpan w:val="3"/>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灵敏度</w:t>
            </w:r>
          </w:p>
        </w:tc>
        <w:tc>
          <w:tcPr>
            <w:tcW w:w="1904" w:type="pct"/>
            <w:gridSpan w:val="4"/>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vMerge w:val="continue"/>
            <w:noWrap w:val="0"/>
            <w:vAlign w:val="center"/>
          </w:tcPr>
          <w:p>
            <w:pPr>
              <w:ind w:firstLine="0" w:firstLineChars="0"/>
              <w:jc w:val="center"/>
              <w:rPr>
                <w:rFonts w:hint="eastAsia" w:ascii="宋体" w:hAnsi="宋体" w:eastAsia="宋体" w:cs="宋体"/>
                <w:sz w:val="21"/>
                <w:szCs w:val="21"/>
              </w:rPr>
            </w:pPr>
          </w:p>
        </w:tc>
        <w:tc>
          <w:tcPr>
            <w:tcW w:w="2272" w:type="pct"/>
            <w:gridSpan w:val="3"/>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示值误差/示值漂移</w:t>
            </w:r>
          </w:p>
        </w:tc>
        <w:tc>
          <w:tcPr>
            <w:tcW w:w="1904" w:type="pct"/>
            <w:gridSpan w:val="4"/>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方法依据</w:t>
            </w:r>
          </w:p>
        </w:tc>
        <w:tc>
          <w:tcPr>
            <w:tcW w:w="4177" w:type="pct"/>
            <w:gridSpan w:val="7"/>
            <w:noWrap w:val="0"/>
            <w:vAlign w:val="center"/>
          </w:tcPr>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spacing w:line="48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判定依据</w:t>
            </w:r>
          </w:p>
        </w:tc>
        <w:tc>
          <w:tcPr>
            <w:tcW w:w="4177" w:type="pct"/>
            <w:gridSpan w:val="7"/>
            <w:noWrap w:val="0"/>
            <w:vAlign w:val="center"/>
          </w:tcPr>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1、《石油化学工业污染物排放标准》（GB 31571-2015） </w:t>
            </w:r>
          </w:p>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2、《挥发性有机物无组织排放控制标准》（GB 37822-2019） </w:t>
            </w:r>
          </w:p>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3、《石化企业泄漏检测与修复工作指南》（环办【2015】104 号） </w:t>
            </w:r>
          </w:p>
          <w:p>
            <w:pPr>
              <w:spacing w:line="36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4、《工业企业挥发性有机物泄漏检测与修复技术指南》（HJ 1230—2021）</w:t>
            </w:r>
          </w:p>
          <w:p>
            <w:pPr>
              <w:spacing w:line="36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Theme="minorEastAsia" w:hAnsiTheme="minorEastAsia" w:eastAsiaTheme="minorEastAsia" w:cstheme="minorEastAsia"/>
                <w:sz w:val="21"/>
                <w:szCs w:val="21"/>
              </w:rPr>
              <w:t>《东营市挥发性有机物泄漏检测与修复（LDAR）实施技术导则》</w:t>
            </w:r>
            <w:r>
              <w:rPr>
                <w:rFonts w:hint="eastAsia" w:asciiTheme="minorEastAsia" w:hAnsiTheme="minorEastAsia" w:eastAsiaTheme="minorEastAsia" w:cstheme="minorEastAsia"/>
                <w:sz w:val="21"/>
                <w:szCs w:val="21"/>
                <w:lang w:val="en-US" w:eastAsia="zh-CN"/>
              </w:rPr>
              <w:t>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22" w:type="pct"/>
            <w:noWrap w:val="0"/>
            <w:vAlign w:val="center"/>
          </w:tcPr>
          <w:p>
            <w:pPr>
              <w:keepNext w:val="0"/>
              <w:keepLines w:val="0"/>
              <w:widowControl/>
              <w:suppressLineNumbers w:val="0"/>
              <w:spacing w:line="480" w:lineRule="auto"/>
              <w:ind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排放核算依据</w:t>
            </w:r>
          </w:p>
        </w:tc>
        <w:tc>
          <w:tcPr>
            <w:tcW w:w="4177" w:type="pct"/>
            <w:gridSpan w:val="7"/>
            <w:noWrap w:val="0"/>
            <w:vAlign w:val="center"/>
          </w:tcPr>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1、《挥发性有机物排污收费试点办法》之附件二：《石油化工行业 VOCs 泄漏量计算办法》（试行） </w:t>
            </w:r>
          </w:p>
          <w:p>
            <w:pPr>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2、《石化行业 VOCs 污染源排查指南》（环办【2015】104 号）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cs="宋体"/>
                <w:sz w:val="18"/>
                <w:szCs w:val="18"/>
              </w:rPr>
              <w:t>结果说明</w:t>
            </w:r>
          </w:p>
        </w:tc>
        <w:tc>
          <w:tcPr>
            <w:tcW w:w="4177" w:type="pct"/>
            <w:gridSpan w:val="7"/>
            <w:noWrap w:val="0"/>
            <w:vAlign w:val="center"/>
          </w:tcPr>
          <w:p>
            <w:pPr>
              <w:spacing w:line="360" w:lineRule="auto"/>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本轮项目检测：受控动密封点位</w:t>
            </w:r>
            <w:r>
              <w:rPr>
                <w:rFonts w:hint="eastAsia" w:ascii="宋体" w:hAnsi="宋体" w:cs="宋体"/>
                <w:sz w:val="21"/>
                <w:szCs w:val="21"/>
                <w:lang w:val="en-US" w:eastAsia="zh-CN"/>
              </w:rPr>
              <w:t>86</w:t>
            </w:r>
            <w:r>
              <w:rPr>
                <w:rFonts w:hint="eastAsia" w:ascii="宋体" w:hAnsi="宋体" w:eastAsia="宋体" w:cs="宋体"/>
                <w:sz w:val="21"/>
                <w:szCs w:val="21"/>
                <w:lang w:val="en-US" w:eastAsia="zh-CN"/>
              </w:rPr>
              <w:t>个，实际检测密封点位</w:t>
            </w:r>
            <w:r>
              <w:rPr>
                <w:rFonts w:hint="eastAsia" w:ascii="宋体" w:hAnsi="宋体" w:cs="宋体"/>
                <w:sz w:val="21"/>
                <w:szCs w:val="21"/>
                <w:lang w:val="en-US" w:eastAsia="zh-CN"/>
              </w:rPr>
              <w:t>86</w:t>
            </w:r>
            <w:r>
              <w:rPr>
                <w:rFonts w:hint="eastAsia" w:ascii="宋体" w:hAnsi="宋体" w:eastAsia="宋体" w:cs="宋体"/>
                <w:sz w:val="21"/>
                <w:szCs w:val="21"/>
                <w:lang w:val="en-US" w:eastAsia="zh-CN"/>
              </w:rPr>
              <w:t>个，</w:t>
            </w:r>
            <w:r>
              <w:rPr>
                <w:rFonts w:hint="eastAsia" w:ascii="宋体" w:hAnsi="宋体" w:eastAsia="宋体" w:cs="宋体"/>
                <w:sz w:val="21"/>
                <w:szCs w:val="21"/>
              </w:rPr>
              <w:t>不可达密封点</w:t>
            </w:r>
            <w:r>
              <w:rPr>
                <w:rFonts w:hint="eastAsia" w:ascii="宋体" w:hAnsi="宋体" w:eastAsia="宋体" w:cs="宋体"/>
                <w:sz w:val="21"/>
                <w:szCs w:val="21"/>
                <w:lang w:val="en-US" w:eastAsia="zh-CN"/>
              </w:rPr>
              <w:t>位</w:t>
            </w:r>
            <w:r>
              <w:rPr>
                <w:rFonts w:hint="eastAsia" w:ascii="宋体" w:hAnsi="宋体" w:cs="宋体"/>
                <w:sz w:val="21"/>
                <w:szCs w:val="21"/>
                <w:lang w:val="en-US" w:eastAsia="zh-CN"/>
              </w:rPr>
              <w:t>0</w:t>
            </w:r>
            <w:r>
              <w:rPr>
                <w:rFonts w:hint="eastAsia" w:ascii="宋体" w:hAnsi="宋体" w:eastAsia="宋体" w:cs="宋体"/>
                <w:sz w:val="21"/>
                <w:szCs w:val="21"/>
              </w:rPr>
              <w:t>个</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发现泄漏密封点位</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个，已修复合格泄漏点位</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个，泄漏率为:</w:t>
            </w:r>
            <w:r>
              <w:rPr>
                <w:rFonts w:hint="eastAsia" w:ascii="宋体" w:hAnsi="宋体" w:cs="宋体"/>
                <w:sz w:val="21"/>
                <w:szCs w:val="21"/>
                <w:lang w:val="en-US" w:eastAsia="zh-CN"/>
              </w:rPr>
              <w:t>2.33</w:t>
            </w:r>
            <w:r>
              <w:rPr>
                <w:rFonts w:hint="eastAsia" w:ascii="宋体" w:hAnsi="宋体" w:eastAsia="宋体" w:cs="宋体"/>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822" w:type="pct"/>
            <w:noWrap w:val="0"/>
            <w:vAlign w:val="center"/>
          </w:tcPr>
          <w:p>
            <w:pPr>
              <w:spacing w:line="48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检测人员</w:t>
            </w:r>
          </w:p>
        </w:tc>
        <w:tc>
          <w:tcPr>
            <w:tcW w:w="4177" w:type="pct"/>
            <w:gridSpan w:val="7"/>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刘吉文、燕海锋</w:t>
            </w:r>
            <w:r>
              <w:rPr>
                <w:rFonts w:hint="eastAsia" w:ascii="宋体" w:hAnsi="宋体" w:cs="宋体"/>
                <w:sz w:val="21"/>
                <w:szCs w:val="21"/>
                <w:lang w:val="en-US" w:eastAsia="zh-CN"/>
              </w:rPr>
              <w:t>、李浩男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编制人</w:t>
            </w:r>
          </w:p>
        </w:tc>
        <w:tc>
          <w:tcPr>
            <w:tcW w:w="1014" w:type="pct"/>
            <w:noWrap w:val="0"/>
            <w:vAlign w:val="center"/>
          </w:tcPr>
          <w:p>
            <w:pPr>
              <w:spacing w:line="360" w:lineRule="auto"/>
              <w:ind w:firstLine="360"/>
              <w:jc w:val="center"/>
              <w:rPr>
                <w:rFonts w:hint="eastAsia" w:ascii="宋体" w:hAnsi="宋体" w:eastAsia="宋体" w:cs="宋体"/>
                <w:sz w:val="21"/>
                <w:szCs w:val="21"/>
              </w:rPr>
            </w:pPr>
          </w:p>
        </w:tc>
        <w:tc>
          <w:tcPr>
            <w:tcW w:w="60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审核人</w:t>
            </w:r>
          </w:p>
        </w:tc>
        <w:tc>
          <w:tcPr>
            <w:tcW w:w="1019" w:type="pct"/>
            <w:gridSpan w:val="2"/>
            <w:noWrap w:val="0"/>
            <w:vAlign w:val="center"/>
          </w:tcPr>
          <w:p>
            <w:pPr>
              <w:spacing w:line="360" w:lineRule="auto"/>
              <w:ind w:firstLine="360"/>
              <w:jc w:val="center"/>
              <w:rPr>
                <w:rFonts w:hint="eastAsia" w:ascii="宋体" w:hAnsi="宋体" w:eastAsia="宋体" w:cs="宋体"/>
                <w:sz w:val="21"/>
                <w:szCs w:val="21"/>
              </w:rPr>
            </w:pPr>
          </w:p>
        </w:tc>
        <w:tc>
          <w:tcPr>
            <w:tcW w:w="690" w:type="pct"/>
            <w:gridSpan w:val="2"/>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授权签字人</w:t>
            </w:r>
          </w:p>
        </w:tc>
        <w:tc>
          <w:tcPr>
            <w:tcW w:w="852" w:type="pct"/>
            <w:noWrap w:val="0"/>
            <w:vAlign w:val="center"/>
          </w:tcPr>
          <w:p>
            <w:pPr>
              <w:spacing w:line="360" w:lineRule="auto"/>
              <w:ind w:firstLine="36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822"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编制时间</w:t>
            </w:r>
          </w:p>
        </w:tc>
        <w:tc>
          <w:tcPr>
            <w:tcW w:w="1014" w:type="pct"/>
            <w:noWrap w:val="0"/>
            <w:vAlign w:val="center"/>
          </w:tcPr>
          <w:p>
            <w:pPr>
              <w:spacing w:line="360" w:lineRule="auto"/>
              <w:ind w:firstLine="360"/>
              <w:jc w:val="center"/>
              <w:rPr>
                <w:rFonts w:hint="eastAsia" w:ascii="宋体" w:hAnsi="宋体" w:eastAsia="宋体" w:cs="宋体"/>
                <w:sz w:val="21"/>
                <w:szCs w:val="21"/>
              </w:rPr>
            </w:pPr>
          </w:p>
        </w:tc>
        <w:tc>
          <w:tcPr>
            <w:tcW w:w="601" w:type="pct"/>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审核时间</w:t>
            </w:r>
          </w:p>
        </w:tc>
        <w:tc>
          <w:tcPr>
            <w:tcW w:w="1019" w:type="pct"/>
            <w:gridSpan w:val="2"/>
            <w:noWrap w:val="0"/>
            <w:vAlign w:val="center"/>
          </w:tcPr>
          <w:p>
            <w:pPr>
              <w:spacing w:line="360" w:lineRule="auto"/>
              <w:ind w:firstLine="360"/>
              <w:jc w:val="center"/>
              <w:rPr>
                <w:rFonts w:hint="eastAsia" w:ascii="宋体" w:hAnsi="宋体" w:eastAsia="宋体" w:cs="宋体"/>
                <w:sz w:val="21"/>
                <w:szCs w:val="21"/>
              </w:rPr>
            </w:pPr>
          </w:p>
        </w:tc>
        <w:tc>
          <w:tcPr>
            <w:tcW w:w="690" w:type="pct"/>
            <w:gridSpan w:val="2"/>
            <w:noWrap w:val="0"/>
            <w:vAlign w:val="center"/>
          </w:tcPr>
          <w:p>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签字时间</w:t>
            </w:r>
          </w:p>
        </w:tc>
        <w:tc>
          <w:tcPr>
            <w:tcW w:w="852" w:type="pct"/>
            <w:noWrap w:val="0"/>
            <w:vAlign w:val="center"/>
          </w:tcPr>
          <w:p>
            <w:pPr>
              <w:spacing w:line="360" w:lineRule="auto"/>
              <w:ind w:firstLine="360"/>
              <w:jc w:val="center"/>
              <w:rPr>
                <w:rFonts w:hint="eastAsia" w:ascii="宋体" w:hAnsi="宋体" w:eastAsia="宋体" w:cs="宋体"/>
                <w:sz w:val="21"/>
                <w:szCs w:val="21"/>
              </w:rPr>
            </w:pPr>
          </w:p>
        </w:tc>
      </w:tr>
    </w:tbl>
    <w:p>
      <w:pPr>
        <w:pStyle w:val="3"/>
        <w:numPr>
          <w:ilvl w:val="0"/>
          <w:numId w:val="0"/>
        </w:numPr>
        <w:bidi w:val="0"/>
        <w:ind w:leftChars="0"/>
        <w:rPr>
          <w:rFonts w:hint="default"/>
          <w:lang w:val="en-US" w:eastAsia="zh-CN"/>
        </w:rPr>
      </w:pPr>
      <w:r>
        <w:rPr>
          <w:rFonts w:hint="eastAsia" w:cs="宋体"/>
          <w:color w:val="auto"/>
          <w:lang w:val="en-US" w:eastAsia="zh-CN"/>
        </w:rPr>
        <w:t>1.</w:t>
      </w:r>
      <w:r>
        <w:rPr>
          <w:rFonts w:hint="eastAsia" w:ascii="宋体" w:hAnsi="宋体" w:eastAsia="宋体" w:cs="宋体"/>
          <w:color w:val="auto"/>
          <w:lang w:val="en-US" w:eastAsia="zh-CN"/>
        </w:rPr>
        <w:t>挥发性有机物（VOCs）泄漏检测与修复结果报告单</w:t>
      </w:r>
      <w:bookmarkEnd w:id="13"/>
    </w:p>
    <w:p>
      <w:pPr>
        <w:spacing w:line="300" w:lineRule="exact"/>
        <w:jc w:val="both"/>
        <w:rPr>
          <w:rFonts w:hint="eastAsia" w:ascii="宋体" w:hAnsi="宋体" w:eastAsia="宋体" w:cs="宋体"/>
          <w:sz w:val="18"/>
          <w:szCs w:val="18"/>
        </w:rPr>
      </w:pPr>
      <w:r>
        <w:rPr>
          <w:rFonts w:hint="eastAsia" w:ascii="宋体" w:hAnsi="宋体" w:eastAsia="宋体" w:cs="宋体"/>
          <w:sz w:val="18"/>
          <w:szCs w:val="18"/>
        </w:rPr>
        <w:t>备注</w:t>
      </w:r>
      <w:r>
        <w:rPr>
          <w:rFonts w:hint="eastAsia" w:ascii="宋体" w:hAnsi="宋体" w:eastAsia="宋体" w:cs="宋体"/>
          <w:sz w:val="18"/>
          <w:szCs w:val="18"/>
          <w:lang w:eastAsia="zh-CN"/>
        </w:rPr>
        <w:t>：</w:t>
      </w:r>
      <w:r>
        <w:rPr>
          <w:rFonts w:hint="eastAsia" w:ascii="宋体" w:hAnsi="宋体" w:eastAsia="宋体" w:cs="宋体"/>
          <w:sz w:val="18"/>
          <w:szCs w:val="18"/>
        </w:rPr>
        <w:t>①表征方式：指代“以甲烷计”“以异丁烷计”“以XX计”等表征方法。</w:t>
      </w:r>
    </w:p>
    <w:p>
      <w:pPr>
        <w:spacing w:line="300" w:lineRule="exact"/>
        <w:ind w:firstLine="540" w:firstLineChars="300"/>
        <w:jc w:val="both"/>
        <w:rPr>
          <w:rFonts w:hint="eastAsia" w:ascii="宋体" w:hAnsi="宋体" w:cs="宋体"/>
          <w:lang w:val="en-US" w:eastAsia="zh-CN"/>
        </w:rPr>
      </w:pPr>
      <w:r>
        <w:rPr>
          <w:rFonts w:hint="eastAsia" w:ascii="宋体" w:hAnsi="宋体" w:eastAsia="宋体" w:cs="宋体"/>
          <w:sz w:val="18"/>
          <w:szCs w:val="18"/>
        </w:rPr>
        <w:t>②净检测值大于或等于</w:t>
      </w:r>
      <w:r>
        <w:rPr>
          <w:rFonts w:hint="eastAsia" w:ascii="宋体" w:hAnsi="宋体" w:eastAsia="宋体" w:cs="宋体"/>
          <w:sz w:val="18"/>
          <w:szCs w:val="18"/>
          <w:lang w:val="en-US" w:eastAsia="zh-CN"/>
        </w:rPr>
        <w:t>5</w:t>
      </w:r>
      <w:r>
        <w:rPr>
          <w:rFonts w:hint="eastAsia" w:ascii="宋体" w:hAnsi="宋体" w:eastAsia="宋体" w:cs="宋体"/>
          <w:sz w:val="18"/>
          <w:szCs w:val="18"/>
        </w:rPr>
        <w:t>00</w:t>
      </w:r>
      <w:r>
        <w:rPr>
          <w:rFonts w:hint="eastAsia" w:ascii="宋体" w:hAnsi="宋体" w:eastAsia="宋体" w:cs="宋体"/>
          <w:sz w:val="18"/>
          <w:szCs w:val="18"/>
          <w:lang w:eastAsia="zh-CN"/>
        </w:rPr>
        <w:t>μmol/mol</w:t>
      </w:r>
      <w:r>
        <w:rPr>
          <w:rFonts w:hint="eastAsia" w:ascii="宋体" w:hAnsi="宋体" w:eastAsia="宋体" w:cs="宋体"/>
          <w:sz w:val="18"/>
          <w:szCs w:val="18"/>
        </w:rPr>
        <w:t>（有机气体或轻液体）；净检测值大于或等于</w:t>
      </w:r>
      <w:r>
        <w:rPr>
          <w:rFonts w:hint="eastAsia" w:ascii="宋体" w:hAnsi="宋体" w:eastAsia="宋体" w:cs="宋体"/>
          <w:sz w:val="18"/>
          <w:szCs w:val="18"/>
          <w:lang w:val="en-US" w:eastAsia="zh-CN"/>
        </w:rPr>
        <w:t>2</w:t>
      </w:r>
      <w:r>
        <w:rPr>
          <w:rFonts w:hint="eastAsia" w:ascii="宋体" w:hAnsi="宋体" w:eastAsia="宋体" w:cs="宋体"/>
          <w:sz w:val="18"/>
          <w:szCs w:val="18"/>
        </w:rPr>
        <w:t>00</w:t>
      </w:r>
      <w:r>
        <w:rPr>
          <w:rFonts w:hint="eastAsia" w:ascii="宋体" w:hAnsi="宋体" w:eastAsia="宋体" w:cs="宋体"/>
          <w:sz w:val="18"/>
          <w:szCs w:val="18"/>
          <w:lang w:eastAsia="zh-CN"/>
        </w:rPr>
        <w:t>μmol/mol</w:t>
      </w:r>
      <w:r>
        <w:rPr>
          <w:rFonts w:hint="eastAsia" w:ascii="宋体" w:hAnsi="宋体" w:eastAsia="宋体" w:cs="宋体"/>
          <w:sz w:val="18"/>
          <w:szCs w:val="18"/>
        </w:rPr>
        <w:t>（重液体）.</w:t>
      </w:r>
    </w:p>
    <w:p>
      <w:pPr>
        <w:tabs>
          <w:tab w:val="left" w:pos="1263"/>
        </w:tabs>
        <w:bidi w:val="0"/>
        <w:jc w:val="left"/>
        <w:rPr>
          <w:rFonts w:hint="default"/>
          <w:b/>
          <w:bCs/>
          <w:lang w:val="en-US" w:eastAsia="zh-CN"/>
        </w:rPr>
        <w:sectPr>
          <w:pgSz w:w="11906" w:h="16838"/>
          <w:pgMar w:top="1134"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3"/>
        <w:numPr>
          <w:ilvl w:val="0"/>
          <w:numId w:val="0"/>
        </w:numPr>
        <w:ind w:leftChars="0"/>
        <w:rPr>
          <w:rFonts w:hint="eastAsia" w:ascii="宋体" w:hAnsi="宋体" w:eastAsia="宋体" w:cs="宋体"/>
          <w:color w:val="auto"/>
          <w:lang w:eastAsia="zh-CN"/>
        </w:rPr>
      </w:pPr>
      <w:bookmarkStart w:id="14" w:name="_Toc78"/>
      <w:bookmarkStart w:id="15" w:name="_Toc11306"/>
      <w:r>
        <w:rPr>
          <w:rFonts w:hint="eastAsia" w:ascii="宋体" w:hAnsi="宋体" w:cs="宋体"/>
          <w:color w:val="auto"/>
          <w:lang w:val="en-US" w:eastAsia="zh-CN"/>
        </w:rPr>
        <w:t>1.</w:t>
      </w:r>
      <w:r>
        <w:rPr>
          <w:rFonts w:hint="eastAsia" w:ascii="宋体" w:hAnsi="宋体" w:eastAsia="宋体" w:cs="宋体"/>
          <w:color w:val="auto"/>
        </w:rPr>
        <w:t>企业</w:t>
      </w:r>
      <w:r>
        <w:rPr>
          <w:rFonts w:hint="eastAsia" w:ascii="宋体" w:hAnsi="宋体" w:eastAsia="宋体" w:cs="宋体"/>
          <w:color w:val="auto"/>
          <w:lang w:val="en-US" w:eastAsia="zh-CN"/>
        </w:rPr>
        <w:t>基本情况</w:t>
      </w:r>
      <w:bookmarkEnd w:id="14"/>
      <w:bookmarkEnd w:id="15"/>
    </w:p>
    <w:p>
      <w:pPr>
        <w:pStyle w:val="4"/>
        <w:numPr>
          <w:ilvl w:val="1"/>
          <w:numId w:val="0"/>
        </w:numPr>
        <w:ind w:leftChars="0"/>
        <w:rPr>
          <w:rFonts w:hint="default" w:ascii="宋体" w:hAnsi="宋体" w:eastAsia="宋体"/>
          <w:sz w:val="28"/>
          <w:szCs w:val="28"/>
          <w:lang w:val="en-US" w:eastAsia="zh-CN"/>
        </w:rPr>
      </w:pPr>
      <w:bookmarkStart w:id="16" w:name="_Toc476727230"/>
      <w:bookmarkStart w:id="17" w:name="_Toc31470"/>
      <w:bookmarkStart w:id="18" w:name="_Toc25630"/>
      <w:bookmarkStart w:id="19" w:name="_Toc6325"/>
      <w:bookmarkStart w:id="20" w:name="_Toc25835"/>
      <w:r>
        <w:rPr>
          <w:rFonts w:hint="eastAsia" w:ascii="宋体" w:hAnsi="宋体"/>
          <w:sz w:val="28"/>
          <w:szCs w:val="28"/>
          <w:lang w:val="en-US" w:eastAsia="zh-CN"/>
        </w:rPr>
        <w:t>1.1</w:t>
      </w:r>
      <w:bookmarkEnd w:id="16"/>
      <w:r>
        <w:rPr>
          <w:rFonts w:ascii="宋体" w:hAnsi="宋体"/>
          <w:sz w:val="28"/>
          <w:szCs w:val="28"/>
        </w:rPr>
        <w:t>企业名称、性质、地址</w:t>
      </w:r>
      <w:r>
        <w:rPr>
          <w:rFonts w:hint="eastAsia" w:ascii="宋体" w:hAnsi="宋体"/>
          <w:sz w:val="28"/>
          <w:szCs w:val="28"/>
          <w:lang w:eastAsia="zh-CN"/>
        </w:rPr>
        <w:t>、</w:t>
      </w:r>
      <w:r>
        <w:rPr>
          <w:rFonts w:hint="eastAsia" w:ascii="宋体" w:hAnsi="宋体"/>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bookmarkStart w:id="21" w:name="_Toc1723"/>
      <w:r>
        <w:rPr>
          <w:rFonts w:hint="eastAsia" w:ascii="宋体" w:hAnsi="宋体" w:eastAsia="宋体" w:cs="宋体"/>
          <w:bCs/>
          <w:color w:val="auto"/>
          <w:sz w:val="21"/>
          <w:szCs w:val="21"/>
          <w:highlight w:val="none"/>
          <w:lang w:val="en-US" w:eastAsia="zh-CN"/>
        </w:rPr>
        <w:t>企业名称：</w:t>
      </w:r>
      <w:r>
        <w:rPr>
          <w:rFonts w:hint="eastAsia" w:ascii="宋体" w:hAnsi="宋体" w:eastAsia="宋体" w:cs="宋体"/>
          <w:bCs/>
          <w:color w:val="auto"/>
          <w:sz w:val="21"/>
          <w:szCs w:val="21"/>
          <w:highlight w:val="none"/>
          <w:lang w:val="en-US" w:eastAsia="zh-CN"/>
        </w:rPr>
        <w:t>山东华油万达化学有限公司。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企业性质：其他有限责任公司。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lang w:val="en-US" w:eastAsia="zh-CN"/>
        </w:rPr>
        <w:t>企业地址：山</w:t>
      </w:r>
      <w:r>
        <w:rPr>
          <w:rFonts w:hint="eastAsia" w:ascii="宋体" w:hAnsi="宋体" w:eastAsia="宋体" w:cs="宋体"/>
          <w:i w:val="0"/>
          <w:iCs w:val="0"/>
          <w:caps w:val="0"/>
          <w:color w:val="auto"/>
          <w:spacing w:val="0"/>
          <w:sz w:val="21"/>
          <w:szCs w:val="21"/>
          <w:shd w:val="clear" w:fill="FFFFFF"/>
        </w:rPr>
        <w:t>东省</w:t>
      </w:r>
      <w:r>
        <w:rPr>
          <w:rFonts w:hint="eastAsia" w:ascii="宋体" w:hAnsi="宋体" w:eastAsia="宋体" w:cs="宋体"/>
          <w:i w:val="0"/>
          <w:iCs w:val="0"/>
          <w:caps w:val="0"/>
          <w:color w:val="auto"/>
          <w:spacing w:val="0"/>
          <w:sz w:val="21"/>
          <w:szCs w:val="21"/>
          <w:shd w:val="clear" w:fill="FFFFFF"/>
          <w:lang w:eastAsia="zh-CN"/>
        </w:rPr>
        <w:t>山东省东营市垦利区胜坨镇政府驻地</w:t>
      </w:r>
      <w:r>
        <w:rPr>
          <w:rFonts w:hint="eastAsia" w:ascii="宋体" w:hAnsi="宋体" w:eastAsia="宋体" w:cs="宋体"/>
          <w:color w:val="auto"/>
          <w:sz w:val="21"/>
          <w:szCs w:val="21"/>
          <w:lang w:val="en-US" w:eastAsia="zh-CN"/>
        </w:rPr>
        <w:t>。</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1.2企业简介</w:t>
      </w:r>
      <w:bookmarkEnd w:id="2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r>
        <w:rPr>
          <w:rFonts w:hint="eastAsia" w:asciiTheme="minorEastAsia" w:hAnsiTheme="minorEastAsia" w:eastAsiaTheme="minorEastAsia" w:cstheme="minorEastAsia"/>
          <w:sz w:val="21"/>
          <w:szCs w:val="21"/>
          <w:lang w:eastAsia="zh-CN"/>
        </w:rPr>
        <w:t>。</w:t>
      </w:r>
    </w:p>
    <w:p>
      <w:pPr>
        <w:ind w:firstLine="480" w:firstLineChars="200"/>
        <w:rPr>
          <w:rFonts w:hint="default"/>
          <w:lang w:val="en-US" w:eastAsia="zh-CN"/>
        </w:rPr>
      </w:pPr>
    </w:p>
    <w:p>
      <w:pPr>
        <w:pStyle w:val="4"/>
        <w:numPr>
          <w:ilvl w:val="1"/>
          <w:numId w:val="0"/>
        </w:numPr>
        <w:ind w:leftChars="0"/>
        <w:rPr>
          <w:rFonts w:hint="eastAsia" w:ascii="宋体" w:hAnsi="宋体"/>
          <w:sz w:val="28"/>
          <w:szCs w:val="28"/>
          <w:lang w:val="en-US" w:eastAsia="zh-CN"/>
        </w:rPr>
      </w:pPr>
      <w:bookmarkStart w:id="22" w:name="_Toc11094"/>
      <w:bookmarkStart w:id="23" w:name="_Toc472"/>
      <w:bookmarkStart w:id="24" w:name="_Toc15218"/>
      <w:bookmarkStart w:id="25" w:name="_Toc2613"/>
      <w:r>
        <w:rPr>
          <w:rFonts w:hint="eastAsia" w:ascii="宋体" w:hAnsi="宋体"/>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2023年04月03日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环保部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4462"/>
      <w:bookmarkStart w:id="27" w:name="_Toc6549"/>
      <w:bookmarkStart w:id="28" w:name="_Toc11175"/>
    </w:p>
    <w:p>
      <w:pPr>
        <w:pStyle w:val="3"/>
        <w:numPr>
          <w:ilvl w:val="0"/>
          <w:numId w:val="0"/>
        </w:numPr>
        <w:ind w:leftChars="0"/>
        <w:rPr>
          <w:rFonts w:hint="eastAsia" w:asciiTheme="minorEastAsia" w:hAnsiTheme="minorEastAsia" w:eastAsiaTheme="minorEastAsia" w:cstheme="minorEastAsia"/>
          <w:color w:val="auto"/>
          <w:lang w:val="en-US" w:eastAsia="zh-CN"/>
        </w:rPr>
      </w:pPr>
      <w:bookmarkStart w:id="29" w:name="_Toc7569"/>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eastAsia" w:asciiTheme="minorEastAsia" w:hAnsiTheme="minorEastAsia" w:eastAsiaTheme="minorEastAsia" w:cstheme="minorEastAsia"/>
          <w:color w:val="auto"/>
          <w:lang w:val="en-US" w:eastAsia="zh-CN"/>
        </w:rPr>
      </w:pPr>
    </w:p>
    <w:p>
      <w:pPr>
        <w:pStyle w:val="3"/>
        <w:numPr>
          <w:ilvl w:val="0"/>
          <w:numId w:val="0"/>
        </w:numPr>
        <w:ind w:leftChars="0"/>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603"/>
      <w:bookmarkStart w:id="31" w:name="_Toc30135"/>
      <w:bookmarkStart w:id="32" w:name="_Toc15548"/>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lang w:val="en-US" w:eastAsia="zh-CN"/>
        </w:rPr>
      </w:pPr>
      <w:bookmarkStart w:id="33" w:name="_Toc4815"/>
      <w:r>
        <w:rPr>
          <w:rFonts w:hint="eastAsia"/>
          <w:lang w:val="en-US" w:eastAsia="zh-CN"/>
        </w:rPr>
        <w:t>2.1项目组筹建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甲方项目组</w:t>
      </w:r>
      <w:r>
        <w:rPr>
          <w:rFonts w:hint="eastAsia" w:asciiTheme="minorEastAsia" w:hAnsiTheme="minorEastAsia" w:eastAsiaTheme="minorEastAsia" w:cstheme="minorEastAsia"/>
          <w:b/>
          <w:bCs/>
          <w:sz w:val="21"/>
          <w:szCs w:val="21"/>
        </w:rPr>
        <w:t>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燕海锋</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项目经理</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负责现场检测的全面工作，协调客户单位及部门关于LDAR检测的相关工作、负责LDAR检测全面的技术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现场安全监督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数据分析及报告编制</w:t>
            </w:r>
            <w:r>
              <w:rPr>
                <w:rFonts w:hint="eastAsia" w:asciiTheme="minorEastAsia" w:hAnsiTheme="minorEastAsia" w:eastAsiaTheme="minorEastAsia" w:cstheme="minor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asciiTheme="minorEastAsia" w:hAnsiTheme="minorEastAsia" w:cstheme="minorEastAsia"/>
                <w:sz w:val="21"/>
                <w:szCs w:val="21"/>
                <w:lang w:val="en-US" w:eastAsia="zh-CN" w:bidi="ar-SA"/>
              </w:rPr>
            </w:pPr>
            <w:r>
              <w:rPr>
                <w:rFonts w:hint="eastAsia" w:asciiTheme="minorEastAsia" w:hAnsi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cstheme="minorEastAsia"/>
                <w:sz w:val="21"/>
                <w:szCs w:val="21"/>
                <w:lang w:val="en-US" w:eastAsia="zh-CN"/>
              </w:rPr>
              <w:t>3</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cstheme="minorEastAsia"/>
                <w:sz w:val="21"/>
                <w:szCs w:val="21"/>
                <w:lang w:eastAsia="zh-CN"/>
              </w:rPr>
              <w:t>。</w:t>
            </w:r>
          </w:p>
        </w:tc>
      </w:tr>
    </w:tbl>
    <w:p>
      <w:pPr>
        <w:rPr>
          <w:rFonts w:hint="eastAsia" w:ascii="宋体" w:hAnsi="宋体" w:eastAsia="宋体" w:cs="宋体"/>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val="en-US" w:eastAsia="zh-CN"/>
        </w:rPr>
        <w:t xml:space="preserve"> 山东华油万达化学有限公司LDAR实施计划：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收集基础资料，熟悉工艺流程、PID图、收集密封点基础数据，并在现场对开展LDAR的装置进行基础信息确认、拍照</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对检测数据统一进行归档整理，上传VOCs管控平台</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对修复的泄漏点，进行复检</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对复检数据进行分析统计，编写《LDAR报告》</w:t>
            </w:r>
            <w:r>
              <w:rPr>
                <w:rFonts w:hint="eastAsia" w:ascii="宋体" w:hAnsi="宋体" w:eastAsia="宋体" w:cs="宋体"/>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项目组</w:t>
            </w:r>
          </w:p>
        </w:tc>
      </w:tr>
    </w:tbl>
    <w:p/>
    <w:p>
      <w:pPr>
        <w:pStyle w:val="4"/>
        <w:numPr>
          <w:ilvl w:val="1"/>
          <w:numId w:val="0"/>
        </w:numPr>
        <w:bidi w:val="0"/>
        <w:ind w:leftChars="0"/>
        <w:rPr>
          <w:rFonts w:hint="eastAsia" w:ascii="宋体" w:hAnsi="宋体" w:eastAsia="宋体" w:cs="宋体"/>
          <w:lang w:val="en-US" w:eastAsia="zh-CN"/>
        </w:rPr>
      </w:pPr>
      <w:bookmarkStart w:id="34" w:name="_Toc417"/>
      <w:bookmarkStart w:id="35" w:name="_Toc19220"/>
      <w:bookmarkStart w:id="36" w:name="_Toc13645"/>
      <w:bookmarkStart w:id="37" w:name="_Toc10338"/>
      <w:bookmarkStart w:id="38" w:name="_Toc476727239"/>
      <w:r>
        <w:rPr>
          <w:rFonts w:hint="eastAsia" w:ascii="宋体" w:hAnsi="宋体" w:eastAsia="宋体" w:cs="宋体"/>
          <w:lang w:val="en-US" w:eastAsia="zh-CN"/>
        </w:rPr>
        <w:t>2.2密封点建档</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26954"/>
      <w:bookmarkStart w:id="40" w:name="_Toc17243"/>
      <w:bookmarkStart w:id="41" w:name="_Toc8306"/>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spacing w:line="276" w:lineRule="auto"/>
        <w:ind w:left="420"/>
        <w:jc w:val="center"/>
        <w:outlineLvl w:val="0"/>
        <w:rPr>
          <w:rFonts w:ascii="宋体" w:hAnsi="宋体"/>
          <w:b/>
          <w:bCs w:val="0"/>
          <w:sz w:val="21"/>
          <w:szCs w:val="21"/>
        </w:rPr>
      </w:pPr>
      <w:bookmarkStart w:id="42" w:name="_Toc10362"/>
      <w:r>
        <w:rPr>
          <w:rFonts w:hint="eastAsia" w:ascii="宋体" w:hAnsi="宋体"/>
          <w:b/>
          <w:bCs w:val="0"/>
          <w:sz w:val="21"/>
          <w:szCs w:val="21"/>
        </w:rPr>
        <w:t>检测</w:t>
      </w:r>
      <w:r>
        <w:rPr>
          <w:rFonts w:ascii="宋体" w:hAnsi="宋体"/>
          <w:b/>
          <w:bCs w:val="0"/>
          <w:sz w:val="21"/>
          <w:szCs w:val="21"/>
        </w:rPr>
        <w:t>密封点识别及编号流程</w:t>
      </w:r>
      <w:bookmarkEnd w:id="39"/>
      <w:bookmarkEnd w:id="40"/>
      <w:bookmarkEnd w:id="41"/>
      <w:bookmarkEnd w:id="42"/>
    </w:p>
    <w:p>
      <w:pPr>
        <w:spacing w:line="276" w:lineRule="auto"/>
        <w:ind w:left="420"/>
        <w:jc w:val="center"/>
        <w:rPr>
          <w:rFonts w:ascii="宋体" w:hAnsi="宋体"/>
          <w:sz w:val="21"/>
          <w:szCs w:val="21"/>
        </w:rPr>
      </w:pPr>
      <w:r>
        <w:rPr>
          <w:sz w:val="21"/>
          <w:szCs w:val="21"/>
        </w:rPr>
        <w:drawing>
          <wp:inline distT="0" distB="0" distL="0" distR="0">
            <wp:extent cx="4676140" cy="2590165"/>
            <wp:effectExtent l="0" t="0" r="10160"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4676190" cy="2590476"/>
                    </a:xfrm>
                    <a:prstGeom prst="rect">
                      <a:avLst/>
                    </a:prstGeom>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outlineLvl w:val="0"/>
        <w:rPr>
          <w:rFonts w:hint="eastAsia" w:ascii="宋体" w:hAnsi="宋体" w:eastAsia="宋体" w:cs="宋体"/>
          <w:sz w:val="21"/>
          <w:szCs w:val="21"/>
        </w:rPr>
      </w:pPr>
      <w:bookmarkStart w:id="43" w:name="_Toc15082"/>
      <w:bookmarkStart w:id="44" w:name="_Toc21268"/>
      <w:bookmarkStart w:id="45" w:name="_Toc10566"/>
      <w:bookmarkStart w:id="46" w:name="_Toc28271"/>
      <w:r>
        <w:rPr>
          <w:rFonts w:hint="eastAsia" w:ascii="宋体" w:hAnsi="宋体" w:eastAsia="宋体" w:cs="宋体"/>
          <w:sz w:val="21"/>
          <w:szCs w:val="21"/>
        </w:rPr>
        <w:t>1.熟悉厂区环境 ，划分装置区域。</w:t>
      </w:r>
      <w:bookmarkEnd w:id="43"/>
      <w:bookmarkEnd w:id="44"/>
      <w:bookmarkEnd w:id="45"/>
      <w:bookmarkEnd w:id="46"/>
    </w:p>
    <w:p>
      <w:pPr>
        <w:pStyle w:val="17"/>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2.根据企业提供的厂区PID图确认物料流程和管线；对装置密封点进行基础信息的收集。</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4.根据泄漏检测与修复管理平台要求，将编号信息输入数据库，建立基础数据台账。</w:t>
      </w:r>
    </w:p>
    <w:p>
      <w:pPr>
        <w:pStyle w:val="4"/>
        <w:numPr>
          <w:ilvl w:val="1"/>
          <w:numId w:val="0"/>
        </w:numPr>
        <w:bidi w:val="0"/>
        <w:ind w:leftChars="0"/>
        <w:rPr>
          <w:rFonts w:hint="eastAsia" w:ascii="宋体" w:hAnsi="宋体" w:eastAsia="宋体" w:cs="宋体"/>
          <w:lang w:val="en-US" w:eastAsia="zh-CN"/>
        </w:rPr>
      </w:pPr>
      <w:bookmarkStart w:id="47" w:name="_Toc19090"/>
      <w:r>
        <w:rPr>
          <w:rFonts w:hint="eastAsia" w:ascii="宋体" w:hAnsi="宋体" w:eastAsia="宋体" w:cs="宋体"/>
          <w:lang w:val="en-US" w:eastAsia="zh-CN"/>
        </w:rPr>
        <w:t>2.3装置适合性分析</w:t>
      </w:r>
      <w:bookmarkEnd w:id="4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 LDAR 范围确定基础依据为环保部出台的</w:t>
      </w:r>
      <w:r>
        <w:rPr>
          <w:rFonts w:hint="eastAsia" w:ascii="宋体" w:hAnsi="宋体" w:eastAsia="宋体" w:cs="宋体"/>
          <w:sz w:val="21"/>
          <w:szCs w:val="21"/>
          <w:lang w:val="en-US" w:eastAsia="zh-CN"/>
        </w:rPr>
        <w:t>《工业企业挥发性有机物泄漏检测与修复技术指南》（HJ 1230—2021）、《东营市挥发性有机物泄漏检测与修复（LDAR）实施技术导则》（东环字【2020】31号）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重质液：除有机气体和挥发性有机液体以外的涉 VOCs 物料。</w:t>
      </w:r>
    </w:p>
    <w:p>
      <w:pPr>
        <w:pStyle w:val="4"/>
        <w:numPr>
          <w:ilvl w:val="1"/>
          <w:numId w:val="0"/>
        </w:numPr>
        <w:bidi w:val="0"/>
        <w:ind w:leftChars="0"/>
        <w:rPr>
          <w:rFonts w:hint="default"/>
          <w:lang w:val="en-US" w:eastAsia="zh-CN"/>
        </w:rPr>
      </w:pPr>
      <w:bookmarkStart w:id="48" w:name="_Toc32551"/>
      <w:r>
        <w:rPr>
          <w:rFonts w:hint="eastAsia"/>
          <w:lang w:val="en-US" w:eastAsia="zh-CN"/>
        </w:rPr>
        <w:t>2.4物料状态分析表</w:t>
      </w:r>
      <w:bookmarkEnd w:id="48"/>
    </w:p>
    <w:tbl>
      <w:tblPr>
        <w:tblStyle w:val="12"/>
        <w:tblW w:w="503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515"/>
        <w:gridCol w:w="1355"/>
        <w:gridCol w:w="953"/>
        <w:gridCol w:w="914"/>
        <w:gridCol w:w="3012"/>
        <w:gridCol w:w="2416"/>
        <w:gridCol w:w="5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5000" w:type="pct"/>
            <w:gridSpan w:val="7"/>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bookmarkStart w:id="49" w:name="_Toc19823"/>
            <w:r>
              <w:rPr>
                <w:rFonts w:hint="eastAsia" w:ascii="宋体" w:hAnsi="宋体" w:eastAsia="宋体" w:cs="宋体"/>
                <w:b/>
                <w:bCs/>
                <w:color w:val="auto"/>
                <w:sz w:val="21"/>
                <w:szCs w:val="21"/>
                <w:lang w:val="en-US" w:eastAsia="zh-CN"/>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47" w:hRule="atLeast"/>
        </w:trPr>
        <w:tc>
          <w:tcPr>
            <w:tcW w:w="265"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696"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物料名称</w:t>
            </w:r>
          </w:p>
        </w:tc>
        <w:tc>
          <w:tcPr>
            <w:tcW w:w="489"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是否为涉VOC物料</w:t>
            </w:r>
          </w:p>
        </w:tc>
        <w:tc>
          <w:tcPr>
            <w:tcW w:w="468"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w:t>
            </w:r>
          </w:p>
        </w:tc>
        <w:tc>
          <w:tcPr>
            <w:tcW w:w="2786" w:type="pct"/>
            <w:gridSpan w:val="2"/>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物料状态辨识条件</w:t>
            </w:r>
          </w:p>
        </w:tc>
        <w:tc>
          <w:tcPr>
            <w:tcW w:w="294"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14" w:hRule="atLeast"/>
        </w:trPr>
        <w:tc>
          <w:tcPr>
            <w:tcW w:w="265" w:type="pct"/>
            <w:tcBorders>
              <w:tl2br w:val="nil"/>
              <w:tr2bl w:val="nil"/>
            </w:tcBorders>
            <w:noWrap w:val="0"/>
            <w:vAlign w:val="center"/>
          </w:tcPr>
          <w:p>
            <w:pPr>
              <w:pStyle w:val="25"/>
              <w:ind w:firstLine="0" w:firstLineChars="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9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丙烯腈</w:t>
            </w:r>
          </w:p>
        </w:tc>
        <w:tc>
          <w:tcPr>
            <w:tcW w:w="489" w:type="pct"/>
            <w:tcBorders>
              <w:tl2br w:val="nil"/>
              <w:tr2bl w:val="nil"/>
            </w:tcBorders>
            <w:noWrap w:val="0"/>
            <w:vAlign w:val="center"/>
          </w:tcPr>
          <w:p>
            <w:pPr>
              <w:keepNext w:val="0"/>
              <w:keepLines w:val="0"/>
              <w:widowControl/>
              <w:suppressLineNumbers w:val="0"/>
              <w:spacing w:before="0" w:beforeAutospacing="0" w:after="0" w:afterAutospacing="0"/>
              <w:ind w:right="0" w:rightChars="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是</w:t>
            </w:r>
          </w:p>
        </w:tc>
        <w:tc>
          <w:tcPr>
            <w:tcW w:w="46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轻液</w:t>
            </w:r>
          </w:p>
        </w:tc>
        <w:tc>
          <w:tcPr>
            <w:tcW w:w="2786" w:type="pct"/>
            <w:gridSpan w:val="2"/>
            <w:tcBorders>
              <w:tl2br w:val="nil"/>
              <w:tr2bl w:val="nil"/>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20摄氏度时，挥发性有机液体的真实蒸汽压大于0.3kpa</w:t>
            </w:r>
          </w:p>
        </w:tc>
        <w:tc>
          <w:tcPr>
            <w:tcW w:w="294" w:type="pct"/>
            <w:tcBorders>
              <w:tl2br w:val="nil"/>
              <w:tr2bl w:val="nil"/>
            </w:tcBorders>
            <w:noWrap w:val="0"/>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1919" w:type="pct"/>
            <w:gridSpan w:val="4"/>
            <w:tcBorders>
              <w:tl2br w:val="nil"/>
              <w:tr2bl w:val="nil"/>
            </w:tcBorders>
            <w:noWrap w:val="0"/>
            <w:vAlign w:val="center"/>
          </w:tcPr>
          <w:p>
            <w:pPr>
              <w:pStyle w:val="25"/>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分析人：刘吉文</w:t>
            </w:r>
          </w:p>
        </w:tc>
        <w:tc>
          <w:tcPr>
            <w:tcW w:w="1546" w:type="pct"/>
            <w:tcBorders>
              <w:tl2br w:val="nil"/>
              <w:tr2bl w:val="nil"/>
            </w:tcBorders>
            <w:noWrap w:val="0"/>
            <w:vAlign w:val="center"/>
          </w:tcPr>
          <w:p>
            <w:pPr>
              <w:pStyle w:val="25"/>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审核人：</w:t>
            </w:r>
            <w:r>
              <w:rPr>
                <w:rFonts w:hint="eastAsia" w:ascii="宋体" w:hAnsi="宋体" w:eastAsia="宋体" w:cs="宋体"/>
                <w:color w:val="auto"/>
                <w:sz w:val="21"/>
                <w:szCs w:val="21"/>
                <w:lang w:val="en-US" w:eastAsia="zh-CN"/>
              </w:rPr>
              <w:t>燕海锋</w:t>
            </w:r>
          </w:p>
        </w:tc>
        <w:tc>
          <w:tcPr>
            <w:tcW w:w="1534" w:type="pct"/>
            <w:gridSpan w:val="2"/>
            <w:tcBorders>
              <w:tl2br w:val="nil"/>
              <w:tr2bl w:val="nil"/>
            </w:tcBorders>
            <w:noWrap w:val="0"/>
            <w:vAlign w:val="center"/>
          </w:tcPr>
          <w:p>
            <w:pPr>
              <w:pStyle w:val="25"/>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审核时间：2023年</w:t>
            </w:r>
            <w:r>
              <w:rPr>
                <w:rFonts w:hint="eastAsia" w:ascii="宋体" w:hAnsi="宋体" w:cs="宋体"/>
                <w:b w:val="0"/>
                <w:bCs w:val="0"/>
                <w:color w:val="auto"/>
                <w:sz w:val="21"/>
                <w:szCs w:val="21"/>
                <w:lang w:val="en-US" w:eastAsia="zh-CN"/>
              </w:rPr>
              <w:t>04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03</w:t>
            </w:r>
            <w:r>
              <w:rPr>
                <w:rFonts w:hint="eastAsia" w:ascii="宋体" w:hAnsi="宋体" w:eastAsia="宋体" w:cs="宋体"/>
                <w:b w:val="0"/>
                <w:bCs w:val="0"/>
                <w:color w:val="auto"/>
                <w:sz w:val="21"/>
                <w:szCs w:val="21"/>
                <w:lang w:val="en-US" w:eastAsia="zh-CN"/>
              </w:rPr>
              <w:t>日</w:t>
            </w:r>
          </w:p>
        </w:tc>
      </w:tr>
    </w:tbl>
    <w:p>
      <w:pPr>
        <w:pStyle w:val="4"/>
        <w:numPr>
          <w:ilvl w:val="1"/>
          <w:numId w:val="0"/>
        </w:numPr>
        <w:bidi w:val="0"/>
        <w:ind w:leftChars="0"/>
        <w:rPr>
          <w:rFonts w:hint="default"/>
          <w:lang w:val="en-US" w:eastAsia="zh-CN"/>
        </w:rPr>
      </w:pPr>
      <w:r>
        <w:rPr>
          <w:rFonts w:hint="eastAsia"/>
          <w:lang w:val="en-US" w:eastAsia="zh-CN"/>
        </w:rPr>
        <w:t>2.5受控装置分析清单</w:t>
      </w:r>
      <w:bookmarkEnd w:id="49"/>
    </w:p>
    <w:bookmarkEnd w:id="38"/>
    <w:tbl>
      <w:tblPr>
        <w:tblStyle w:val="12"/>
        <w:tblW w:w="506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86"/>
        <w:gridCol w:w="1866"/>
        <w:gridCol w:w="911"/>
        <w:gridCol w:w="2759"/>
        <w:gridCol w:w="1687"/>
        <w:gridCol w:w="178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5000" w:type="pct"/>
            <w:gridSpan w:val="6"/>
            <w:tcBorders>
              <w:tl2br w:val="nil"/>
              <w:tr2bl w:val="nil"/>
            </w:tcBorders>
            <w:vAlign w:val="center"/>
          </w:tcPr>
          <w:p>
            <w:pPr>
              <w:pStyle w:val="25"/>
              <w:rPr>
                <w:color w:val="auto"/>
              </w:rPr>
            </w:pPr>
            <w:bookmarkStart w:id="50" w:name="_Toc9970"/>
            <w:bookmarkStart w:id="51" w:name="_Toc17776"/>
            <w:bookmarkStart w:id="52" w:name="_Toc12509"/>
            <w:r>
              <w:rPr>
                <w:rFonts w:hint="eastAsia"/>
                <w:b/>
                <w:bCs/>
                <w:color w:val="auto"/>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401"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序号</w:t>
            </w:r>
          </w:p>
        </w:tc>
        <w:tc>
          <w:tcPr>
            <w:tcW w:w="952"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装置</w:t>
            </w:r>
          </w:p>
        </w:tc>
        <w:tc>
          <w:tcPr>
            <w:tcW w:w="465"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是否受控</w:t>
            </w:r>
          </w:p>
        </w:tc>
        <w:tc>
          <w:tcPr>
            <w:tcW w:w="2269" w:type="pct"/>
            <w:gridSpan w:val="2"/>
            <w:tcBorders>
              <w:tl2br w:val="nil"/>
              <w:tr2bl w:val="nil"/>
            </w:tcBorders>
            <w:shd w:val="clear" w:color="auto" w:fill="auto"/>
            <w:vAlign w:val="center"/>
          </w:tcPr>
          <w:p>
            <w:pPr>
              <w:pStyle w:val="25"/>
              <w:rPr>
                <w:b/>
                <w:bCs/>
                <w:color w:val="auto"/>
                <w:highlight w:val="none"/>
              </w:rPr>
            </w:pPr>
            <w:r>
              <w:rPr>
                <w:rFonts w:hint="eastAsia"/>
                <w:b/>
                <w:bCs/>
                <w:color w:val="auto"/>
                <w:highlight w:val="none"/>
              </w:rPr>
              <w:t>原因</w:t>
            </w:r>
          </w:p>
        </w:tc>
        <w:tc>
          <w:tcPr>
            <w:tcW w:w="910" w:type="pct"/>
            <w:tcBorders>
              <w:tl2br w:val="nil"/>
              <w:tr2bl w:val="nil"/>
            </w:tcBorders>
            <w:shd w:val="clear" w:color="auto" w:fill="auto"/>
            <w:vAlign w:val="center"/>
          </w:tcPr>
          <w:p>
            <w:pPr>
              <w:pStyle w:val="25"/>
              <w:rPr>
                <w:b/>
                <w:bCs/>
                <w:color w:val="auto"/>
                <w:highlight w:val="none"/>
              </w:rPr>
            </w:pPr>
            <w:r>
              <w:rPr>
                <w:rFonts w:hint="eastAsia"/>
                <w:b/>
                <w:bCs/>
                <w:color w:val="auto"/>
                <w:highlight w:val="none"/>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5000" w:type="pct"/>
            <w:gridSpan w:val="6"/>
            <w:tcBorders>
              <w:tl2br w:val="nil"/>
              <w:tr2bl w:val="nil"/>
            </w:tcBorders>
            <w:vAlign w:val="center"/>
          </w:tcPr>
          <w:p>
            <w:pPr>
              <w:pStyle w:val="25"/>
              <w:rPr>
                <w:color w:val="auto"/>
              </w:rPr>
            </w:pPr>
            <w:r>
              <w:rPr>
                <w:rFonts w:hint="eastAsia"/>
                <w:color w:val="auto"/>
              </w:rPr>
              <w:t>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1" w:hRule="atLeast"/>
          <w:jc w:val="center"/>
        </w:trPr>
        <w:tc>
          <w:tcPr>
            <w:tcW w:w="40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color w:val="auto"/>
              </w:rPr>
            </w:pPr>
            <w:r>
              <w:rPr>
                <w:rFonts w:hint="eastAsia" w:ascii="宋体" w:hAnsi="宋体" w:eastAsia="宋体" w:cs="宋体"/>
                <w:color w:val="auto"/>
                <w:lang w:val="en-US" w:eastAsia="zh-CN"/>
              </w:rPr>
              <w:t>1</w:t>
            </w:r>
          </w:p>
        </w:tc>
        <w:tc>
          <w:tcPr>
            <w:tcW w:w="952"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PAM水合工序</w:t>
            </w:r>
          </w:p>
        </w:tc>
        <w:tc>
          <w:tcPr>
            <w:tcW w:w="46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2269" w:type="pct"/>
            <w:gridSpan w:val="2"/>
            <w:tcBorders>
              <w:tl2br w:val="nil"/>
              <w:tr2bl w:val="nil"/>
            </w:tcBorders>
            <w:vAlign w:val="center"/>
          </w:tcPr>
          <w:p>
            <w:pPr>
              <w:pStyle w:val="25"/>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b w:val="0"/>
                <w:bCs w:val="0"/>
                <w:color w:val="auto"/>
                <w:sz w:val="21"/>
                <w:szCs w:val="21"/>
                <w:lang w:val="en-US" w:eastAsia="zh-CN" w:bidi="ar"/>
              </w:rPr>
              <w:t>涉VOCs物料:丙烯腈</w:t>
            </w:r>
          </w:p>
        </w:tc>
        <w:tc>
          <w:tcPr>
            <w:tcW w:w="910" w:type="pct"/>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color w:val="auto"/>
                <w:lang w:val="en-US" w:eastAsia="zh-CN"/>
              </w:rPr>
            </w:pPr>
            <w:r>
              <w:rPr>
                <w:rFonts w:hint="eastAsia" w:ascii="宋体" w:hAnsi="宋体" w:eastAsia="宋体" w:cs="宋体"/>
                <w:b w:val="0"/>
                <w:bCs w:val="0"/>
                <w:color w:val="auto"/>
                <w:sz w:val="21"/>
                <w:szCs w:val="21"/>
                <w:lang w:val="en-US" w:eastAsia="zh-CN" w:bidi="ar"/>
              </w:rPr>
              <w:t>XXPAM0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40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952"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储运装置</w:t>
            </w:r>
          </w:p>
        </w:tc>
        <w:tc>
          <w:tcPr>
            <w:tcW w:w="465" w:type="pc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c>
          <w:tcPr>
            <w:tcW w:w="2269" w:type="pct"/>
            <w:gridSpan w:val="2"/>
            <w:tcBorders>
              <w:tl2br w:val="nil"/>
              <w:tr2bl w:val="nil"/>
            </w:tcBorders>
            <w:vAlign w:val="center"/>
          </w:tcPr>
          <w:p>
            <w:pPr>
              <w:pStyle w:val="25"/>
              <w:keepNext w:val="0"/>
              <w:keepLines w:val="0"/>
              <w:suppressLineNumbers w:val="0"/>
              <w:bidi w:val="0"/>
              <w:spacing w:before="0" w:beforeAutospacing="0" w:after="0" w:afterAutospacing="0"/>
              <w:ind w:right="0" w:rightChars="0" w:firstLine="0" w:firstLineChars="0"/>
              <w:jc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涉VOCs物料:丙烯腈</w:t>
            </w:r>
          </w:p>
        </w:tc>
        <w:tc>
          <w:tcPr>
            <w:tcW w:w="910" w:type="pct"/>
            <w:tcBorders>
              <w:tl2br w:val="nil"/>
              <w:tr2bl w:val="nil"/>
            </w:tcBorders>
            <w:vAlign w:val="center"/>
          </w:tcPr>
          <w:p>
            <w:pPr>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80" w:hRule="atLeast"/>
          <w:jc w:val="center"/>
        </w:trPr>
        <w:tc>
          <w:tcPr>
            <w:tcW w:w="5000" w:type="pct"/>
            <w:gridSpan w:val="6"/>
            <w:tcBorders>
              <w:tl2br w:val="nil"/>
              <w:tr2bl w:val="nil"/>
            </w:tcBorders>
            <w:vAlign w:val="center"/>
          </w:tcPr>
          <w:p>
            <w:pPr>
              <w:pStyle w:val="25"/>
              <w:ind w:firstLine="420" w:firstLineChars="200"/>
              <w:jc w:val="left"/>
              <w:rPr>
                <w:rFonts w:hint="eastAsia" w:ascii="宋体" w:hAnsi="宋体" w:eastAsia="宋体" w:cs="宋体"/>
                <w:color w:val="auto"/>
              </w:rPr>
            </w:pPr>
            <w:r>
              <w:rPr>
                <w:rFonts w:hint="eastAsia" w:ascii="宋体" w:hAnsi="宋体" w:eastAsia="宋体" w:cs="宋体"/>
                <w:color w:val="auto"/>
                <w:szCs w:val="21"/>
              </w:rPr>
              <w:t>依据</w:t>
            </w:r>
            <w:r>
              <w:rPr>
                <w:rFonts w:hint="eastAsia" w:ascii="宋体" w:hAnsi="宋体" w:eastAsia="宋体" w:cs="宋体"/>
                <w:color w:val="auto"/>
              </w:rPr>
              <w:t>《石化</w:t>
            </w:r>
            <w:r>
              <w:rPr>
                <w:rFonts w:hint="eastAsia" w:ascii="宋体" w:hAnsi="宋体" w:eastAsia="宋体" w:cs="宋体"/>
                <w:color w:val="auto"/>
                <w:lang w:val="en-US" w:eastAsia="zh-CN"/>
              </w:rPr>
              <w:t>企</w:t>
            </w:r>
            <w:r>
              <w:rPr>
                <w:rFonts w:hint="eastAsia" w:ascii="宋体" w:hAnsi="宋体" w:eastAsia="宋体" w:cs="宋体"/>
                <w:color w:val="auto"/>
              </w:rPr>
              <w:t>业泄漏检测与修复</w:t>
            </w:r>
            <w:r>
              <w:rPr>
                <w:rFonts w:hint="eastAsia" w:ascii="宋体" w:hAnsi="宋体" w:eastAsia="宋体" w:cs="宋体"/>
                <w:color w:val="auto"/>
                <w:lang w:val="en-US" w:eastAsia="zh-CN"/>
              </w:rPr>
              <w:t>工作</w:t>
            </w:r>
            <w:r>
              <w:rPr>
                <w:rFonts w:hint="eastAsia" w:ascii="宋体" w:hAnsi="宋体" w:eastAsia="宋体" w:cs="宋体"/>
                <w:color w:val="auto"/>
              </w:rPr>
              <w:t>指南》（环办【2015】104号）</w:t>
            </w:r>
            <w:r>
              <w:rPr>
                <w:rFonts w:hint="eastAsia" w:ascii="宋体" w:hAnsi="宋体" w:eastAsia="宋体" w:cs="宋体"/>
                <w:color w:val="auto"/>
                <w:szCs w:val="21"/>
              </w:rPr>
              <w:t>5.2分析装置涉及的原料、中间产品、最终产品和各类助剂的组分和含量，任何时间不含涉VOCs物料的装置，为非受控装置。否则，应纳入LDAR实施范围，并建立企业受控装置清单。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jc w:val="center"/>
        </w:trPr>
        <w:tc>
          <w:tcPr>
            <w:tcW w:w="1353" w:type="pct"/>
            <w:gridSpan w:val="2"/>
            <w:tcBorders>
              <w:tl2br w:val="nil"/>
              <w:tr2bl w:val="nil"/>
            </w:tcBorders>
            <w:vAlign w:val="center"/>
          </w:tcPr>
          <w:p>
            <w:pPr>
              <w:pStyle w:val="25"/>
              <w:rPr>
                <w:rFonts w:hint="eastAsia" w:ascii="宋体" w:hAnsi="宋体" w:eastAsia="宋体" w:cs="宋体"/>
                <w:color w:val="auto"/>
                <w:lang w:val="en-US" w:eastAsia="zh-CN"/>
              </w:rPr>
            </w:pPr>
            <w:r>
              <w:rPr>
                <w:rFonts w:hint="eastAsia" w:ascii="宋体" w:hAnsi="宋体" w:eastAsia="宋体" w:cs="宋体"/>
                <w:color w:val="auto"/>
              </w:rPr>
              <w:t>分析人：</w:t>
            </w:r>
            <w:r>
              <w:rPr>
                <w:rFonts w:hint="eastAsia" w:ascii="宋体" w:hAnsi="宋体" w:eastAsia="宋体" w:cs="宋体"/>
                <w:b w:val="0"/>
                <w:bCs w:val="0"/>
                <w:color w:val="auto"/>
                <w:sz w:val="21"/>
                <w:szCs w:val="21"/>
                <w:lang w:val="en-US" w:eastAsia="zh-CN"/>
              </w:rPr>
              <w:t>刘吉文</w:t>
            </w:r>
          </w:p>
        </w:tc>
        <w:tc>
          <w:tcPr>
            <w:tcW w:w="1873" w:type="pct"/>
            <w:gridSpan w:val="2"/>
            <w:tcBorders>
              <w:tl2br w:val="nil"/>
              <w:tr2bl w:val="nil"/>
            </w:tcBorders>
            <w:vAlign w:val="center"/>
          </w:tcPr>
          <w:p>
            <w:pPr>
              <w:pStyle w:val="25"/>
              <w:rPr>
                <w:rFonts w:hint="eastAsia" w:ascii="宋体" w:hAnsi="宋体" w:eastAsia="宋体" w:cs="宋体"/>
                <w:color w:val="auto"/>
                <w:lang w:val="en-US" w:eastAsia="zh-CN"/>
              </w:rPr>
            </w:pPr>
            <w:r>
              <w:rPr>
                <w:rFonts w:hint="eastAsia" w:ascii="宋体" w:hAnsi="宋体" w:eastAsia="宋体" w:cs="宋体"/>
                <w:color w:val="auto"/>
              </w:rPr>
              <w:t>审核人：</w:t>
            </w:r>
            <w:r>
              <w:rPr>
                <w:rFonts w:hint="eastAsia" w:ascii="宋体" w:hAnsi="宋体" w:eastAsia="宋体" w:cs="宋体"/>
                <w:color w:val="auto"/>
                <w:sz w:val="21"/>
                <w:szCs w:val="21"/>
                <w:lang w:val="en-US" w:eastAsia="zh-CN"/>
              </w:rPr>
              <w:t>燕海锋</w:t>
            </w:r>
          </w:p>
        </w:tc>
        <w:tc>
          <w:tcPr>
            <w:tcW w:w="1772" w:type="pct"/>
            <w:gridSpan w:val="2"/>
            <w:tcBorders>
              <w:tl2br w:val="nil"/>
              <w:tr2bl w:val="nil"/>
            </w:tcBorders>
            <w:vAlign w:val="center"/>
          </w:tcPr>
          <w:p>
            <w:pPr>
              <w:pStyle w:val="25"/>
              <w:rPr>
                <w:rFonts w:hint="eastAsia" w:ascii="宋体" w:hAnsi="宋体" w:eastAsia="宋体" w:cs="宋体"/>
                <w:color w:val="auto"/>
                <w:lang w:val="en-US" w:eastAsia="zh-CN"/>
              </w:rPr>
            </w:pPr>
            <w:r>
              <w:rPr>
                <w:rFonts w:hint="eastAsia" w:ascii="宋体" w:hAnsi="宋体" w:eastAsia="宋体" w:cs="宋体"/>
                <w:color w:val="auto"/>
                <w:lang w:eastAsia="zh-CN"/>
              </w:rPr>
              <w:t>审核时间：2023年</w:t>
            </w:r>
            <w:r>
              <w:rPr>
                <w:rFonts w:hint="eastAsia" w:ascii="宋体" w:hAnsi="宋体" w:cs="宋体"/>
                <w:color w:val="auto"/>
                <w:lang w:val="en-US" w:eastAsia="zh-CN"/>
              </w:rPr>
              <w:t>04</w:t>
            </w:r>
            <w:r>
              <w:rPr>
                <w:rFonts w:hint="eastAsia" w:ascii="宋体" w:hAnsi="宋体" w:eastAsia="宋体" w:cs="宋体"/>
                <w:color w:val="auto"/>
                <w:lang w:eastAsia="zh-CN"/>
              </w:rPr>
              <w:t>月</w:t>
            </w:r>
            <w:r>
              <w:rPr>
                <w:rFonts w:hint="eastAsia" w:ascii="宋体" w:hAnsi="宋体" w:cs="宋体"/>
                <w:color w:val="auto"/>
                <w:lang w:val="en-US" w:eastAsia="zh-CN"/>
              </w:rPr>
              <w:t>03</w:t>
            </w:r>
            <w:r>
              <w:rPr>
                <w:rFonts w:hint="eastAsia" w:ascii="宋体" w:hAnsi="宋体" w:eastAsia="宋体" w:cs="宋体"/>
                <w:color w:val="auto"/>
                <w:lang w:eastAsia="zh-CN"/>
              </w:rPr>
              <w:t>日</w:t>
            </w:r>
          </w:p>
        </w:tc>
      </w:tr>
    </w:tbl>
    <w:p>
      <w:pPr>
        <w:pStyle w:val="4"/>
        <w:numPr>
          <w:ilvl w:val="1"/>
          <w:numId w:val="0"/>
        </w:numPr>
        <w:bidi w:val="0"/>
        <w:ind w:leftChars="0"/>
        <w:rPr>
          <w:rFonts w:hint="default"/>
          <w:lang w:val="en-US" w:eastAsia="zh-CN"/>
        </w:rPr>
      </w:pPr>
      <w:r>
        <w:rPr>
          <w:rFonts w:hint="eastAsia"/>
          <w:lang w:val="en-US" w:eastAsia="zh-CN"/>
        </w:rPr>
        <w:t>2.6装置适合性分析</w:t>
      </w:r>
      <w:bookmarkEnd w:id="50"/>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逐一分析各受控装置内设备或管线的物料，辨识接触或流经涉VOCs 物料的设备或管线。任何时</w:t>
      </w:r>
      <w:r>
        <w:rPr>
          <w:rFonts w:hint="eastAsia" w:ascii="宋体" w:hAnsi="宋体" w:eastAsia="宋体" w:cs="宋体"/>
          <w:spacing w:val="11"/>
          <w:sz w:val="21"/>
          <w:szCs w:val="21"/>
        </w:rPr>
        <w:t>间不含涉</w:t>
      </w:r>
      <w:r>
        <w:rPr>
          <w:rFonts w:hint="eastAsia" w:ascii="宋体" w:hAnsi="宋体" w:eastAsia="宋体" w:cs="宋体"/>
          <w:sz w:val="21"/>
          <w:szCs w:val="21"/>
        </w:rPr>
        <w:t xml:space="preserve">VOCs </w:t>
      </w:r>
      <w:r>
        <w:rPr>
          <w:rFonts w:hint="eastAsia" w:ascii="宋体" w:hAnsi="宋体" w:eastAsia="宋体" w:cs="宋体"/>
          <w:spacing w:val="-9"/>
          <w:sz w:val="21"/>
          <w:szCs w:val="21"/>
        </w:rPr>
        <w:t xml:space="preserve">物料的设备，为非受控设备。否则应纳入 </w:t>
      </w:r>
      <w:r>
        <w:rPr>
          <w:rFonts w:hint="eastAsia" w:ascii="宋体" w:hAnsi="宋体" w:eastAsia="宋体" w:cs="宋体"/>
          <w:sz w:val="21"/>
          <w:szCs w:val="21"/>
        </w:rPr>
        <w:t xml:space="preserve">LDAR </w:t>
      </w:r>
      <w:r>
        <w:rPr>
          <w:rFonts w:hint="eastAsia" w:ascii="宋体" w:hAnsi="宋体" w:eastAsia="宋体" w:cs="宋体"/>
          <w:spacing w:val="-5"/>
          <w:sz w:val="21"/>
          <w:szCs w:val="21"/>
        </w:rPr>
        <w:t>实施范围。通过物料平衡表或操作手</w:t>
      </w:r>
      <w:r>
        <w:rPr>
          <w:rFonts w:hint="eastAsia" w:ascii="宋体" w:hAnsi="宋体" w:eastAsia="宋体" w:cs="宋体"/>
          <w:spacing w:val="1"/>
          <w:sz w:val="21"/>
          <w:szCs w:val="21"/>
        </w:rPr>
        <w:t>册，宜核算设备、管线内</w:t>
      </w:r>
      <w:r>
        <w:rPr>
          <w:rFonts w:hint="eastAsia" w:ascii="宋体" w:hAnsi="宋体" w:eastAsia="宋体" w:cs="宋体"/>
          <w:sz w:val="21"/>
          <w:szCs w:val="21"/>
        </w:rPr>
        <w:t>TOC</w:t>
      </w:r>
      <w:r>
        <w:rPr>
          <w:rFonts w:hint="eastAsia" w:ascii="宋体" w:hAnsi="宋体" w:eastAsia="宋体" w:cs="宋体"/>
          <w:spacing w:val="-3"/>
          <w:sz w:val="21"/>
          <w:szCs w:val="21"/>
        </w:rPr>
        <w:t>、</w:t>
      </w:r>
      <w:r>
        <w:rPr>
          <w:rFonts w:hint="eastAsia" w:ascii="宋体" w:hAnsi="宋体" w:eastAsia="宋体" w:cs="宋体"/>
          <w:sz w:val="21"/>
          <w:szCs w:val="21"/>
        </w:rPr>
        <w:t xml:space="preserve">VOCs </w:t>
      </w:r>
      <w:r>
        <w:rPr>
          <w:rFonts w:hint="eastAsia" w:ascii="宋体" w:hAnsi="宋体" w:eastAsia="宋体" w:cs="宋体"/>
          <w:spacing w:val="-3"/>
          <w:sz w:val="21"/>
          <w:szCs w:val="21"/>
        </w:rPr>
        <w:t>和甲烷质量分数。对于组分及含量随时间变化的设备管线，宜</w:t>
      </w:r>
      <w:r>
        <w:rPr>
          <w:rFonts w:hint="eastAsia" w:ascii="宋体" w:hAnsi="宋体" w:eastAsia="宋体" w:cs="宋体"/>
          <w:spacing w:val="-14"/>
          <w:sz w:val="21"/>
          <w:szCs w:val="21"/>
        </w:rPr>
        <w:t>取受控期间质量分数的平均值。除本条款规定的豁免设备外，所有受控设备均应纳入</w:t>
      </w:r>
      <w:r>
        <w:rPr>
          <w:rFonts w:hint="eastAsia" w:ascii="宋体" w:hAnsi="宋体" w:eastAsia="宋体" w:cs="宋体"/>
          <w:sz w:val="21"/>
          <w:szCs w:val="21"/>
        </w:rPr>
        <w:t xml:space="preserve">LDAR </w:t>
      </w:r>
      <w:r>
        <w:rPr>
          <w:rFonts w:hint="eastAsia" w:ascii="宋体" w:hAnsi="宋体" w:eastAsia="宋体" w:cs="宋体"/>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3"/>
          <w:sz w:val="21"/>
          <w:szCs w:val="21"/>
        </w:rPr>
        <w:t>正常工作处于负压状态</w:t>
      </w:r>
      <w:r>
        <w:rPr>
          <w:rFonts w:hint="eastAsia" w:ascii="宋体" w:hAnsi="宋体" w:eastAsia="宋体" w:cs="宋体"/>
          <w:sz w:val="21"/>
          <w:szCs w:val="21"/>
        </w:rPr>
        <w:t>（</w:t>
      </w:r>
      <w:r>
        <w:rPr>
          <w:rFonts w:hint="eastAsia" w:ascii="宋体" w:hAnsi="宋体" w:eastAsia="宋体" w:cs="宋体"/>
          <w:spacing w:val="-3"/>
          <w:sz w:val="21"/>
          <w:szCs w:val="21"/>
        </w:rPr>
        <w:t>绝对压力低于9</w:t>
      </w:r>
      <w:r>
        <w:rPr>
          <w:rFonts w:hint="eastAsia" w:ascii="宋体" w:hAnsi="宋体" w:eastAsia="宋体" w:cs="宋体"/>
          <w:sz w:val="21"/>
          <w:szCs w:val="21"/>
        </w:rPr>
        <w:t>6.3</w:t>
      </w:r>
      <w:r>
        <w:rPr>
          <w:rFonts w:hint="eastAsia" w:ascii="宋体" w:hAnsi="宋体" w:eastAsia="宋体" w:cs="宋体"/>
          <w:spacing w:val="-3"/>
          <w:sz w:val="21"/>
          <w:szCs w:val="21"/>
        </w:rPr>
        <w:t>k</w:t>
      </w:r>
      <w:r>
        <w:rPr>
          <w:rFonts w:hint="eastAsia" w:ascii="宋体" w:hAnsi="宋体" w:eastAsia="宋体" w:cs="宋体"/>
          <w:sz w:val="21"/>
          <w:szCs w:val="21"/>
        </w:rPr>
        <w:t>P</w:t>
      </w:r>
      <w:r>
        <w:rPr>
          <w:rFonts w:hint="eastAsia" w:ascii="宋体" w:hAnsi="宋体" w:eastAsia="宋体" w:cs="宋体"/>
          <w:spacing w:val="-3"/>
          <w:sz w:val="21"/>
          <w:szCs w:val="21"/>
        </w:rPr>
        <w:t>a</w:t>
      </w:r>
      <w:r>
        <w:rPr>
          <w:rFonts w:hint="eastAsia" w:ascii="宋体" w:hAnsi="宋体" w:eastAsia="宋体" w:cs="宋体"/>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sz w:val="21"/>
          <w:szCs w:val="21"/>
        </w:rPr>
        <w:t>——仅在开停工、故障、应急响应或临时投用期间接触涉VOCs 物料的设备，且一年接触时间不超过 15 日。</w:t>
      </w:r>
    </w:p>
    <w:p>
      <w:pPr>
        <w:pStyle w:val="4"/>
        <w:numPr>
          <w:ilvl w:val="1"/>
          <w:numId w:val="0"/>
        </w:numPr>
        <w:bidi w:val="0"/>
        <w:ind w:leftChars="0"/>
        <w:rPr>
          <w:rFonts w:hint="eastAsia"/>
          <w:lang w:val="en-US" w:eastAsia="zh-CN"/>
        </w:rPr>
      </w:pPr>
      <w:bookmarkStart w:id="53" w:name="_Toc29706"/>
      <w:r>
        <w:rPr>
          <w:rFonts w:hint="eastAsia"/>
          <w:lang w:val="en-US" w:eastAsia="zh-CN"/>
        </w:rPr>
        <w:t>2.7响应因子分析</w:t>
      </w:r>
      <w:bookmarkEnd w:id="5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一个装置的流包含多种产品，每一种又有着不同的理化特性，因此挥发性有机气体分析仪要获得准确的 μmol/mol 读数，要有不同的响应因子。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石油炼制工业生产装置可不考虑响应因子对检测值的影响；石油化工生产装置应根据物料中 VOCs 的组成确定响应因子。根据物料中 VOCs 的组成确定响应因子。物料分析及响应因子如下：</w:t>
      </w:r>
      <w:r>
        <w:rPr>
          <w:rFonts w:hint="eastAsia"/>
          <w:color w:val="000000" w:themeColor="text1"/>
          <w:sz w:val="21"/>
          <w:szCs w:val="21"/>
          <w14:textFill>
            <w14:solidFill>
              <w14:schemeClr w14:val="tx1"/>
            </w14:solidFill>
          </w14:textFill>
        </w:rPr>
        <w:t xml:space="preserve"> </w:t>
      </w:r>
    </w:p>
    <w:tbl>
      <w:tblPr>
        <w:tblStyle w:val="12"/>
        <w:tblW w:w="5000" w:type="pct"/>
        <w:jc w:val="center"/>
        <w:tblLayout w:type="autofit"/>
        <w:tblCellMar>
          <w:top w:w="15" w:type="dxa"/>
          <w:left w:w="15" w:type="dxa"/>
          <w:bottom w:w="15" w:type="dxa"/>
          <w:right w:w="15" w:type="dxa"/>
        </w:tblCellMar>
      </w:tblPr>
      <w:tblGrid>
        <w:gridCol w:w="829"/>
        <w:gridCol w:w="1859"/>
        <w:gridCol w:w="472"/>
        <w:gridCol w:w="1850"/>
        <w:gridCol w:w="1338"/>
        <w:gridCol w:w="981"/>
        <w:gridCol w:w="2339"/>
      </w:tblGrid>
      <w:tr>
        <w:tblPrEx>
          <w:tblCellMar>
            <w:top w:w="15" w:type="dxa"/>
            <w:left w:w="15" w:type="dxa"/>
            <w:bottom w:w="15" w:type="dxa"/>
            <w:right w:w="15" w:type="dxa"/>
          </w:tblCellMar>
        </w:tblPrEx>
        <w:trPr>
          <w:trHeight w:val="567" w:hRule="atLeast"/>
          <w:jc w:val="center"/>
        </w:trPr>
        <w:tc>
          <w:tcPr>
            <w:tcW w:w="9668" w:type="dxa"/>
            <w:gridSpan w:val="7"/>
            <w:tcBorders>
              <w:bottom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bookmarkStart w:id="54" w:name="_Toc19402"/>
            <w:r>
              <w:rPr>
                <w:rFonts w:hint="eastAsia" w:ascii="宋体" w:hAnsi="宋体" w:eastAsia="宋体" w:cs="宋体"/>
                <w:b/>
                <w:bCs/>
                <w:color w:val="auto"/>
                <w:sz w:val="24"/>
                <w:szCs w:val="24"/>
                <w:lang w:val="en-US" w:eastAsia="zh-CN"/>
              </w:rPr>
              <w:t>仪器检测使用响应因子分析</w:t>
            </w:r>
          </w:p>
        </w:tc>
      </w:tr>
      <w:tr>
        <w:tblPrEx>
          <w:tblCellMar>
            <w:top w:w="15" w:type="dxa"/>
            <w:left w:w="15" w:type="dxa"/>
            <w:bottom w:w="15" w:type="dxa"/>
            <w:right w:w="15" w:type="dxa"/>
          </w:tblCellMar>
        </w:tblPrEx>
        <w:trPr>
          <w:trHeight w:val="567"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物料介质</w:t>
            </w:r>
          </w:p>
        </w:tc>
        <w:tc>
          <w:tcPr>
            <w:tcW w:w="4641" w:type="dxa"/>
            <w:gridSpan w:val="4"/>
            <w:tcBorders>
              <w:top w:val="single" w:color="000000" w:sz="12"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是否数据修正</w:t>
            </w:r>
          </w:p>
        </w:tc>
      </w:tr>
      <w:tr>
        <w:tblPrEx>
          <w:tblCellMar>
            <w:top w:w="15" w:type="dxa"/>
            <w:left w:w="15" w:type="dxa"/>
            <w:bottom w:w="15" w:type="dxa"/>
            <w:right w:w="15" w:type="dxa"/>
          </w:tblCellMar>
        </w:tblPrEx>
        <w:trPr>
          <w:trHeight w:val="567"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0-10000umol/mol</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rPr>
            </w:pPr>
          </w:p>
        </w:tc>
      </w:tr>
      <w:tr>
        <w:tblPrEx>
          <w:tblCellMar>
            <w:top w:w="15" w:type="dxa"/>
            <w:left w:w="15" w:type="dxa"/>
            <w:bottom w:w="15" w:type="dxa"/>
            <w:right w:w="15" w:type="dxa"/>
          </w:tblCellMar>
        </w:tblPrEx>
        <w:trPr>
          <w:trHeight w:val="799"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5"/>
              <w:ind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bidi="ar"/>
              </w:rPr>
              <w:t>丙烯腈</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0.85</w:t>
            </w:r>
          </w:p>
        </w:tc>
        <w:tc>
          <w:tcPr>
            <w:tcW w:w="2319" w:type="dxa"/>
            <w:gridSpan w:val="2"/>
            <w:tcBorders>
              <w:top w:val="single" w:color="000000" w:sz="4" w:space="0"/>
              <w:left w:val="single" w:color="000000" w:sz="4" w:space="0"/>
              <w:bottom w:val="single" w:color="000000" w:sz="4" w:space="0"/>
              <w:right w:val="single" w:color="000000" w:sz="4"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 w:val="0"/>
                <w:bCs w:val="0"/>
                <w:color w:val="auto"/>
                <w:sz w:val="21"/>
                <w:szCs w:val="21"/>
                <w:lang w:val="en-US" w:eastAsia="zh-CN"/>
              </w:rPr>
            </w:pPr>
            <w:r>
              <w:rPr>
                <w:rFonts w:hint="eastAsia" w:ascii="宋体" w:hAnsi="宋体" w:eastAsia="宋体" w:cs="宋体"/>
                <w:i w:val="0"/>
                <w:color w:val="auto"/>
                <w:kern w:val="0"/>
                <w:sz w:val="21"/>
                <w:szCs w:val="21"/>
                <w:u w:val="none"/>
                <w:lang w:val="en-US" w:eastAsia="zh-CN" w:bidi="ar"/>
              </w:rPr>
              <w:t>否</w:t>
            </w:r>
          </w:p>
        </w:tc>
      </w:tr>
      <w:tr>
        <w:tblPrEx>
          <w:tblCellMar>
            <w:top w:w="15" w:type="dxa"/>
            <w:left w:w="15" w:type="dxa"/>
            <w:bottom w:w="15" w:type="dxa"/>
            <w:right w:w="15" w:type="dxa"/>
          </w:tblCellMar>
        </w:tblPrEx>
        <w:trPr>
          <w:trHeight w:val="697" w:hRule="atLeast"/>
          <w:jc w:val="center"/>
        </w:trPr>
        <w:tc>
          <w:tcPr>
            <w:tcW w:w="3160" w:type="dxa"/>
            <w:gridSpan w:val="3"/>
            <w:tcBorders>
              <w:top w:val="single" w:color="000000" w:sz="4" w:space="0"/>
              <w:left w:val="single" w:color="000000" w:sz="12" w:space="0"/>
              <w:bottom w:val="single" w:color="000000" w:sz="12" w:space="0"/>
              <w:right w:val="single" w:color="000000" w:sz="4" w:space="0"/>
            </w:tcBorders>
            <w:vAlign w:val="center"/>
          </w:tcPr>
          <w:p>
            <w:pPr>
              <w:pStyle w:val="25"/>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分析人：</w:t>
            </w:r>
            <w:r>
              <w:rPr>
                <w:rFonts w:hint="eastAsia" w:ascii="宋体" w:hAnsi="宋体" w:eastAsia="宋体" w:cs="宋体"/>
                <w:b w:val="0"/>
                <w:bCs w:val="0"/>
                <w:color w:val="auto"/>
                <w:sz w:val="21"/>
                <w:szCs w:val="21"/>
                <w:lang w:val="en-US" w:eastAsia="zh-CN"/>
              </w:rPr>
              <w:t>刘吉文</w:t>
            </w:r>
          </w:p>
        </w:tc>
        <w:tc>
          <w:tcPr>
            <w:tcW w:w="3188" w:type="dxa"/>
            <w:gridSpan w:val="2"/>
            <w:tcBorders>
              <w:top w:val="single" w:color="000000" w:sz="4" w:space="0"/>
              <w:left w:val="single" w:color="000000" w:sz="4" w:space="0"/>
              <w:bottom w:val="single" w:color="000000" w:sz="12" w:space="0"/>
              <w:right w:val="single" w:color="000000" w:sz="4" w:space="0"/>
            </w:tcBorders>
            <w:vAlign w:val="center"/>
          </w:tcPr>
          <w:p>
            <w:pPr>
              <w:pStyle w:val="25"/>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审核人：</w:t>
            </w:r>
            <w:r>
              <w:rPr>
                <w:rFonts w:hint="eastAsia" w:ascii="宋体" w:hAnsi="宋体" w:eastAsia="宋体" w:cs="宋体"/>
                <w:b w:val="0"/>
                <w:bCs w:val="0"/>
                <w:color w:val="auto"/>
                <w:sz w:val="21"/>
                <w:szCs w:val="21"/>
                <w:lang w:val="en-US" w:eastAsia="zh-CN"/>
              </w:rPr>
              <w:t>燕海锋</w:t>
            </w:r>
          </w:p>
        </w:tc>
        <w:tc>
          <w:tcPr>
            <w:tcW w:w="3320" w:type="dxa"/>
            <w:gridSpan w:val="2"/>
            <w:tcBorders>
              <w:top w:val="single" w:color="000000" w:sz="4" w:space="0"/>
              <w:left w:val="single" w:color="000000" w:sz="4" w:space="0"/>
              <w:bottom w:val="single" w:color="000000" w:sz="12" w:space="0"/>
              <w:right w:val="single" w:color="000000" w:sz="12" w:space="0"/>
            </w:tcBorders>
            <w:vAlign w:val="center"/>
          </w:tcPr>
          <w:p>
            <w:pPr>
              <w:pStyle w:val="25"/>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审核时间：202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年1月0</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日</w:t>
            </w:r>
          </w:p>
        </w:tc>
      </w:tr>
    </w:tbl>
    <w:p>
      <w:pPr>
        <w:pStyle w:val="3"/>
        <w:numPr>
          <w:ilvl w:val="0"/>
          <w:numId w:val="0"/>
        </w:numPr>
        <w:bidi w:val="0"/>
        <w:ind w:leftChars="0"/>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lang w:val="en-US" w:eastAsia="zh-CN"/>
        </w:rPr>
      </w:pPr>
    </w:p>
    <w:p>
      <w:pPr>
        <w:pStyle w:val="3"/>
        <w:numPr>
          <w:ilvl w:val="0"/>
          <w:numId w:val="0"/>
        </w:numPr>
        <w:bidi w:val="0"/>
        <w:ind w:leftChars="0"/>
        <w:rPr>
          <w:rFonts w:hint="eastAsia"/>
          <w:color w:val="auto"/>
          <w:lang w:val="en-US" w:eastAsia="zh-CN"/>
        </w:rPr>
      </w:pPr>
    </w:p>
    <w:p>
      <w:pPr>
        <w:pStyle w:val="3"/>
        <w:numPr>
          <w:ilvl w:val="0"/>
          <w:numId w:val="0"/>
        </w:numPr>
        <w:bidi w:val="0"/>
        <w:ind w:leftChars="0"/>
        <w:rPr>
          <w:rFonts w:hint="eastAsia"/>
          <w:color w:val="auto"/>
          <w:lang w:val="en-US" w:eastAsia="zh-CN"/>
        </w:rPr>
      </w:pPr>
      <w:r>
        <w:rPr>
          <w:rFonts w:hint="eastAsia"/>
          <w:color w:val="auto"/>
          <w:lang w:val="en-US" w:eastAsia="zh-CN"/>
        </w:rPr>
        <w:t>3 现场</w:t>
      </w:r>
      <w:r>
        <w:rPr>
          <w:rFonts w:hint="eastAsia"/>
          <w:color w:val="auto"/>
        </w:rPr>
        <w:t>检测</w:t>
      </w:r>
      <w:bookmarkEnd w:id="51"/>
      <w:bookmarkEnd w:id="52"/>
      <w:bookmarkEnd w:id="54"/>
    </w:p>
    <w:p>
      <w:pPr>
        <w:pStyle w:val="4"/>
        <w:numPr>
          <w:ilvl w:val="1"/>
          <w:numId w:val="0"/>
        </w:numPr>
        <w:bidi w:val="0"/>
        <w:ind w:leftChars="0"/>
        <w:rPr>
          <w:rFonts w:hint="eastAsia" w:ascii="宋体" w:hAnsi="宋体" w:eastAsia="宋体" w:cs="宋体"/>
          <w:lang w:val="en-US" w:eastAsia="zh-CN"/>
        </w:rPr>
      </w:pPr>
      <w:bookmarkStart w:id="55" w:name="_Toc21329"/>
      <w:bookmarkStart w:id="56" w:name="_Toc25188"/>
      <w:bookmarkStart w:id="57" w:name="_Toc6948"/>
      <w:bookmarkStart w:id="58" w:name="_Toc25504"/>
      <w:r>
        <w:drawing>
          <wp:anchor distT="0" distB="0" distL="114300" distR="114300" simplePos="0" relativeHeight="251666432" behindDoc="0" locked="0" layoutInCell="1" allowOverlap="1">
            <wp:simplePos x="0" y="0"/>
            <wp:positionH relativeFrom="column">
              <wp:posOffset>2023745</wp:posOffset>
            </wp:positionH>
            <wp:positionV relativeFrom="paragraph">
              <wp:posOffset>374650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1330960" cy="1669415"/>
                    </a:xfrm>
                    <a:prstGeom prst="rect">
                      <a:avLst/>
                    </a:prstGeom>
                    <a:noFill/>
                    <a:ln>
                      <a:noFill/>
                    </a:ln>
                  </pic:spPr>
                </pic:pic>
              </a:graphicData>
            </a:graphic>
          </wp:anchor>
        </w:drawing>
      </w:r>
      <w:r>
        <w:rPr>
          <w:rFonts w:hint="eastAsia" w:ascii="宋体" w:hAnsi="宋体" w:eastAsia="宋体" w:cs="宋体"/>
          <w:lang w:val="en-US" w:eastAsia="zh-CN"/>
        </w:rPr>
        <w:t>3.1</w:t>
      </w:r>
      <w:bookmarkEnd w:id="55"/>
      <w:bookmarkEnd w:id="56"/>
      <w:bookmarkEnd w:id="57"/>
      <w:bookmarkStart w:id="59" w:name="_Toc23655"/>
      <w:r>
        <w:rPr>
          <w:rFonts w:hint="eastAsia" w:ascii="宋体" w:hAnsi="宋体" w:eastAsia="宋体" w:cs="宋体"/>
          <w:lang w:val="en-US" w:eastAsia="zh-CN"/>
        </w:rPr>
        <w:t>检测设备及辅助设备</w:t>
      </w:r>
      <w:bookmarkEnd w:id="58"/>
      <w:bookmarkEnd w:id="59"/>
    </w:p>
    <w:p>
      <w:pPr>
        <w:pStyle w:val="4"/>
        <w:numPr>
          <w:ilvl w:val="1"/>
          <w:numId w:val="0"/>
        </w:numPr>
        <w:tabs>
          <w:tab w:val="clear" w:pos="576"/>
        </w:tabs>
        <w:spacing w:before="240"/>
        <w:rPr>
          <w:rFonts w:hint="default" w:asciiTheme="minorEastAsia" w:hAnsiTheme="minorEastAsia" w:eastAsiaTheme="minorEastAsia" w:cstheme="minorEastAsia"/>
          <w:b/>
          <w:bCs/>
          <w:caps w:val="0"/>
          <w:spacing w:val="0"/>
          <w:kern w:val="2"/>
          <w:sz w:val="24"/>
          <w:szCs w:val="24"/>
          <w:lang w:val="en-US" w:eastAsia="zh-CN" w:bidi="ar-SA"/>
        </w:rPr>
      </w:pPr>
    </w:p>
    <w:p>
      <w:pPr>
        <w:pStyle w:val="20"/>
        <w:jc w:val="both"/>
        <w:rPr>
          <w:rFonts w:hint="eastAsia"/>
          <w:sz w:val="21"/>
          <w:szCs w:val="21"/>
          <w:lang w:val="en-US" w:eastAsia="zh-CN"/>
        </w:rPr>
      </w:pPr>
      <w:r>
        <w:rPr>
          <w:rFonts w:hint="eastAsia"/>
          <w:sz w:val="21"/>
          <w:szCs w:val="21"/>
          <w:lang w:val="en-US" w:eastAsia="zh-CN"/>
        </w:rPr>
        <w:t xml:space="preserve">                  </w:t>
      </w:r>
    </w:p>
    <w:p>
      <w:pPr>
        <w:pStyle w:val="20"/>
        <w:ind w:left="936" w:firstLine="0" w:firstLineChars="0"/>
        <w:jc w:val="both"/>
        <w:rPr>
          <w:rFonts w:hint="eastAsia"/>
          <w:sz w:val="21"/>
          <w:szCs w:val="21"/>
          <w:lang w:val="en-US" w:eastAsia="zh-CN"/>
        </w:rPr>
      </w:pPr>
    </w:p>
    <w:p>
      <w:pPr>
        <w:pStyle w:val="20"/>
        <w:ind w:left="936" w:firstLine="0" w:firstLineChars="0"/>
        <w:jc w:val="both"/>
        <w:rPr>
          <w:rFonts w:hint="eastAsia"/>
          <w:sz w:val="21"/>
          <w:szCs w:val="21"/>
          <w:lang w:val="en-US" w:eastAsia="zh-CN"/>
        </w:rPr>
      </w:pPr>
    </w:p>
    <w:p>
      <w:pPr>
        <w:pStyle w:val="20"/>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0"/>
        <w:ind w:left="936" w:firstLine="0" w:firstLineChars="0"/>
        <w:jc w:val="both"/>
        <w:rPr>
          <w:rFonts w:hint="eastAsia"/>
          <w:sz w:val="21"/>
          <w:szCs w:val="21"/>
          <w:lang w:val="en-US" w:eastAsia="zh-CN"/>
        </w:rPr>
      </w:pPr>
    </w:p>
    <w:p>
      <w:pPr>
        <w:pStyle w:val="20"/>
        <w:ind w:left="0" w:leftChars="0" w:firstLine="0" w:firstLineChars="0"/>
        <w:jc w:val="both"/>
        <w:rPr>
          <w:rFonts w:hint="eastAsia"/>
          <w:sz w:val="21"/>
          <w:szCs w:val="21"/>
          <w:lang w:val="en-US" w:eastAsia="zh-CN"/>
        </w:rPr>
      </w:pPr>
      <w:r>
        <w:rPr>
          <w:rFonts w:hint="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bookmarkStart w:id="60" w:name="_Toc15428"/>
            <w:bookmarkStart w:id="61" w:name="_Toc8884"/>
            <w:r>
              <w:rPr>
                <w:rFonts w:hint="eastAsia" w:ascii="宋体" w:hAnsi="宋体" w:eastAsia="宋体" w:cs="宋体"/>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中国</w:t>
            </w:r>
          </w:p>
        </w:tc>
      </w:tr>
      <w:bookmarkEnd w:id="60"/>
      <w:bookmarkEnd w:id="61"/>
    </w:tbl>
    <w:p>
      <w:pPr>
        <w:pStyle w:val="20"/>
        <w:ind w:left="936" w:firstLine="0" w:firstLineChars="0"/>
        <w:jc w:val="both"/>
        <w:rPr>
          <w:rFonts w:hint="eastAsia"/>
          <w:sz w:val="21"/>
          <w:szCs w:val="21"/>
          <w:lang w:val="en-US" w:eastAsia="zh-CN"/>
        </w:rPr>
      </w:pPr>
      <w:r>
        <w:rPr>
          <w:rFonts w:hint="eastAsia"/>
          <w:sz w:val="21"/>
          <w:szCs w:val="21"/>
          <w:lang w:val="en-US" w:eastAsia="zh-CN"/>
        </w:rPr>
        <w:t xml:space="preserve"> </w:t>
      </w:r>
    </w:p>
    <w:p>
      <w:pPr>
        <w:pStyle w:val="20"/>
        <w:ind w:left="0" w:leftChars="0" w:firstLine="0" w:firstLineChars="0"/>
        <w:jc w:val="both"/>
        <w:rPr>
          <w:rFonts w:hint="eastAsia"/>
          <w:b w:val="0"/>
          <w:bCs w:val="0"/>
          <w:sz w:val="21"/>
          <w:szCs w:val="21"/>
          <w:lang w:val="en-US" w:eastAsia="zh-CN"/>
        </w:rPr>
      </w:pPr>
      <w:r>
        <w:rPr>
          <w:rFonts w:hint="eastAsia"/>
          <w:sz w:val="21"/>
          <w:szCs w:val="21"/>
          <w:lang w:val="en-US" w:eastAsia="zh-CN"/>
        </w:rPr>
        <w:t xml:space="preserve">  </w:t>
      </w:r>
      <w:r>
        <w:rPr>
          <w:rFonts w:hint="eastAsia" w:ascii="宋体" w:hAnsi="宋体" w:eastAsia="宋体" w:cs="宋体"/>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62" w:name="_Toc5177"/>
      <w:bookmarkStart w:id="63" w:name="_Toc3981"/>
      <w:bookmarkStart w:id="64" w:name="_Toc18593"/>
      <w:bookmarkStart w:id="65" w:name="_Toc14378"/>
      <w:r>
        <w:rPr>
          <w:rFonts w:hint="eastAsia" w:ascii="宋体" w:hAnsi="宋体" w:eastAsia="宋体" w:cs="宋体"/>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——仪器量程及分辨率应符合HJ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——采样流量应符合HJ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——采样探头应符合HJ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——仪器响应时间应符合HJ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——相对示值误差应符合HJ 733</w:t>
      </w:r>
      <w:r>
        <w:rPr>
          <w:rFonts w:hint="eastAsia" w:ascii="宋体" w:hAnsi="宋体" w:eastAsia="宋体" w:cs="宋体"/>
          <w:color w:val="000000" w:themeColor="text1"/>
          <w:sz w:val="21"/>
          <w:szCs w:val="21"/>
          <w:lang w:val="en-US" w:eastAsia="zh-CN"/>
          <w14:textFill>
            <w14:solidFill>
              <w14:schemeClr w14:val="tx1"/>
            </w14:solidFill>
          </w14:textFill>
        </w:rPr>
        <w:t>-2014</w:t>
      </w:r>
      <w:r>
        <w:rPr>
          <w:rFonts w:hint="eastAsia" w:ascii="宋体" w:hAnsi="宋体" w:eastAsia="宋体" w:cs="宋体"/>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标准气体</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宋体" w:hAnsi="宋体" w:eastAsia="宋体" w:cs="宋体"/>
          <w:sz w:val="21"/>
          <w:szCs w:val="21"/>
          <w:lang w:eastAsia="zh-CN" w:bidi="en-US"/>
        </w:rPr>
      </w:pPr>
      <w:r>
        <w:rPr>
          <w:rFonts w:hint="eastAsia" w:ascii="宋体" w:hAnsi="宋体" w:cs="宋体"/>
          <w:sz w:val="21"/>
          <w:szCs w:val="21"/>
          <w:lang w:val="en-US" w:eastAsia="zh-CN" w:bidi="en-US"/>
        </w:rPr>
        <w:t>2、</w:t>
      </w:r>
      <w:r>
        <w:rPr>
          <w:rFonts w:hint="eastAsia" w:ascii="宋体" w:hAnsi="宋体" w:eastAsia="宋体" w:cs="宋体"/>
          <w:sz w:val="21"/>
          <w:szCs w:val="21"/>
          <w:lang w:bidi="en-US"/>
        </w:rPr>
        <w:t>本轮次检测设备清单</w:t>
      </w:r>
      <w:r>
        <w:rPr>
          <w:rFonts w:hint="eastAsia" w:ascii="宋体" w:hAnsi="宋体" w:eastAsia="宋体" w:cs="宋体"/>
          <w:sz w:val="21"/>
          <w:szCs w:val="21"/>
          <w:lang w:eastAsia="zh-CN" w:bidi="en-US"/>
        </w:rPr>
        <w:t>：</w:t>
      </w:r>
    </w:p>
    <w:tbl>
      <w:tblPr>
        <w:tblStyle w:val="13"/>
        <w:tblpPr w:leftFromText="180" w:rightFromText="180" w:vertAnchor="text" w:horzAnchor="page" w:tblpX="1265" w:tblpY="103"/>
        <w:tblOverlap w:val="never"/>
        <w:tblW w:w="4982"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sz w:val="21"/>
                <w:szCs w:val="21"/>
              </w:rPr>
              <w:t>检测仪器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仪器名称</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仪器型号</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检定时间</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氢火焰离子检测仪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T-003</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2022-06-18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氢火焰离子检测仪</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T-004</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 w:val="0"/>
                <w:bCs w:val="0"/>
                <w:sz w:val="21"/>
                <w:szCs w:val="21"/>
                <w:vertAlign w:val="baseline"/>
                <w:lang w:val="en-US" w:eastAsia="zh-CN"/>
              </w:rPr>
              <w:t>ZR-3130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2022-06-18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7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22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氢火焰离子检测仪</w:t>
            </w:r>
          </w:p>
        </w:tc>
        <w:tc>
          <w:tcPr>
            <w:tcW w:w="16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w:t>
            </w:r>
            <w:r>
              <w:rPr>
                <w:rFonts w:hint="eastAsia" w:ascii="宋体" w:hAnsi="宋体" w:cs="宋体"/>
                <w:color w:val="auto"/>
                <w:sz w:val="21"/>
                <w:szCs w:val="21"/>
                <w:lang w:val="en-US" w:eastAsia="zh-CN"/>
              </w:rPr>
              <w:t>5</w:t>
            </w:r>
          </w:p>
        </w:tc>
        <w:tc>
          <w:tcPr>
            <w:tcW w:w="17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ZR-3130</w:t>
            </w:r>
          </w:p>
        </w:tc>
        <w:tc>
          <w:tcPr>
            <w:tcW w:w="141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2022-06-18</w:t>
            </w:r>
          </w:p>
        </w:tc>
        <w:tc>
          <w:tcPr>
            <w:tcW w:w="129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风速计</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T-008</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WS-30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2022-06-28</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校准物质</w:t>
            </w: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lang w:val="en-US" w:eastAsia="zh-CN"/>
              </w:rPr>
              <w:t>标准物质编号</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样品编号</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标气浓度</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（μmol/mol）</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定值日期</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GBW(E)060500</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2100501026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2022-12-17</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GBW(E)062421</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93326129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2022-12-01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GBW(E)062421</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2107005179</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500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2023-02-24</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0"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c>
          <w:tcPr>
            <w:tcW w:w="3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GBW(E)062621</w:t>
            </w:r>
          </w:p>
        </w:tc>
        <w:tc>
          <w:tcPr>
            <w:tcW w:w="84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34002126</w:t>
            </w:r>
          </w:p>
        </w:tc>
        <w:tc>
          <w:tcPr>
            <w:tcW w:w="8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9980</w:t>
            </w:r>
          </w:p>
        </w:tc>
        <w:tc>
          <w:tcPr>
            <w:tcW w:w="71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2022-12-01</w:t>
            </w:r>
          </w:p>
        </w:tc>
        <w:tc>
          <w:tcPr>
            <w:tcW w:w="6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1年</w:t>
            </w:r>
          </w:p>
        </w:tc>
      </w:tr>
    </w:tbl>
    <w:p>
      <w:pPr>
        <w:pStyle w:val="4"/>
        <w:numPr>
          <w:ilvl w:val="1"/>
          <w:numId w:val="0"/>
        </w:numPr>
        <w:bidi w:val="0"/>
        <w:ind w:leftChars="0"/>
        <w:rPr>
          <w:rFonts w:hint="eastAsia" w:ascii="宋体" w:hAnsi="宋体" w:eastAsia="宋体" w:cs="宋体"/>
          <w:lang w:val="en-US" w:eastAsia="zh-CN"/>
        </w:rPr>
      </w:pPr>
      <w:bookmarkStart w:id="66" w:name="_Toc27216"/>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sz w:val="21"/>
          <w:szCs w:val="21"/>
        </w:rPr>
        <w:t>现场作业安全检查情况，如：作业环境、检测人员劳动防护用品等情况</w:t>
      </w:r>
      <w:r>
        <w:rPr>
          <w:rFonts w:hint="eastAsia"/>
          <w:sz w:val="21"/>
          <w:szCs w:val="21"/>
          <w:lang w:eastAsia="zh-CN"/>
        </w:rPr>
        <w:t>（</w:t>
      </w:r>
      <w:r>
        <w:rPr>
          <w:rFonts w:hint="eastAsia"/>
          <w:sz w:val="21"/>
          <w:szCs w:val="21"/>
          <w:lang w:val="en-US" w:eastAsia="zh-CN"/>
        </w:rPr>
        <w:t>见现场环境及安全检查表</w:t>
      </w:r>
      <w:r>
        <w:rPr>
          <w:rFonts w:hint="eastAsia"/>
          <w:sz w:val="21"/>
          <w:szCs w:val="21"/>
          <w:lang w:eastAsia="zh-CN"/>
        </w:rPr>
        <w:t>）。</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default" w:ascii="宋体" w:hAnsi="宋体" w:eastAsia="宋体" w:cs="宋体"/>
          <w:lang w:val="en-US" w:eastAsia="zh-CN"/>
        </w:rPr>
      </w:pPr>
      <w:bookmarkStart w:id="67" w:name="_Toc6090"/>
      <w:bookmarkStart w:id="68" w:name="_Toc2707"/>
      <w:bookmarkStart w:id="69" w:name="_Toc12050"/>
      <w:bookmarkStart w:id="70" w:name="_Toc28563"/>
      <w:bookmarkStart w:id="71" w:name="_Toc10582"/>
      <w:r>
        <w:rPr>
          <w:rFonts w:hint="eastAsia" w:ascii="宋体" w:hAnsi="宋体" w:eastAsia="宋体" w:cs="宋体"/>
          <w:lang w:val="en-US" w:eastAsia="zh-CN"/>
        </w:rPr>
        <w:t>3.2 现场检测情况录入企业 LDAR 软件管理系统</w:t>
      </w:r>
      <w:bookmarkEnd w:id="67"/>
      <w:bookmarkEnd w:id="68"/>
      <w:bookmarkEnd w:id="69"/>
      <w:bookmarkEnd w:id="70"/>
      <w:bookmarkEnd w:id="71"/>
    </w:p>
    <w:p>
      <w:pPr>
        <w:pStyle w:val="2"/>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 xml:space="preserve"> </w:t>
      </w:r>
      <w:r>
        <w:rPr>
          <w:rFonts w:hint="eastAsia" w:ascii="宋体" w:hAnsi="宋体" w:eastAsia="宋体" w:cs="宋体"/>
          <w:sz w:val="21"/>
          <w:szCs w:val="21"/>
        </w:rPr>
        <w:t>密封点</w:t>
      </w:r>
      <w:r>
        <w:rPr>
          <w:rFonts w:ascii="宋体" w:hAnsi="宋体" w:eastAsia="宋体" w:cs="宋体"/>
          <w:sz w:val="21"/>
          <w:szCs w:val="21"/>
        </w:rPr>
        <w:t>台账的上传管理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 xml:space="preserve"> </w:t>
      </w:r>
      <w:r>
        <w:rPr>
          <w:rFonts w:hint="eastAsia" w:ascii="宋体" w:hAnsi="宋体" w:eastAsia="宋体" w:cs="宋体"/>
          <w:sz w:val="21"/>
          <w:szCs w:val="21"/>
        </w:rPr>
        <w:t>检测计划</w:t>
      </w:r>
      <w:r>
        <w:rPr>
          <w:rFonts w:ascii="宋体" w:hAnsi="宋体" w:eastAsia="宋体" w:cs="宋体"/>
          <w:sz w:val="21"/>
          <w:szCs w:val="21"/>
        </w:rPr>
        <w:t>、工单</w:t>
      </w:r>
      <w:r>
        <w:rPr>
          <w:rFonts w:hint="eastAsia" w:ascii="宋体" w:hAnsi="宋体" w:eastAsia="宋体" w:cs="宋体"/>
          <w:sz w:val="21"/>
          <w:szCs w:val="21"/>
        </w:rPr>
        <w:t>、</w:t>
      </w:r>
      <w:r>
        <w:rPr>
          <w:rFonts w:ascii="宋体" w:hAnsi="宋体" w:eastAsia="宋体" w:cs="宋体"/>
          <w:sz w:val="21"/>
          <w:szCs w:val="21"/>
        </w:rPr>
        <w:t>复检计划等的</w:t>
      </w:r>
      <w:r>
        <w:rPr>
          <w:rFonts w:hint="eastAsia" w:ascii="宋体" w:hAnsi="宋体" w:eastAsia="宋体" w:cs="宋体"/>
          <w:sz w:val="21"/>
          <w:szCs w:val="21"/>
        </w:rPr>
        <w:t>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3. </w:t>
      </w:r>
      <w:r>
        <w:rPr>
          <w:rFonts w:hint="eastAsia" w:ascii="宋体" w:hAnsi="宋体" w:eastAsia="宋体" w:cs="宋体"/>
          <w:sz w:val="21"/>
          <w:szCs w:val="21"/>
        </w:rPr>
        <w:t>密封点</w:t>
      </w:r>
      <w:r>
        <w:rPr>
          <w:rFonts w:ascii="宋体" w:hAnsi="宋体" w:eastAsia="宋体" w:cs="宋体"/>
          <w:sz w:val="21"/>
          <w:szCs w:val="21"/>
        </w:rPr>
        <w:t>检测</w:t>
      </w:r>
      <w:r>
        <w:rPr>
          <w:rFonts w:hint="eastAsia" w:ascii="宋体" w:hAnsi="宋体" w:eastAsia="宋体" w:cs="宋体"/>
          <w:sz w:val="21"/>
          <w:szCs w:val="21"/>
        </w:rPr>
        <w:t>数据</w:t>
      </w:r>
      <w:r>
        <w:rPr>
          <w:rFonts w:ascii="宋体" w:hAnsi="宋体" w:eastAsia="宋体" w:cs="宋体"/>
          <w:sz w:val="21"/>
          <w:szCs w:val="21"/>
        </w:rPr>
        <w:t>的上传、计算</w:t>
      </w:r>
      <w:r>
        <w:rPr>
          <w:rFonts w:hint="eastAsia" w:ascii="宋体" w:hAnsi="宋体" w:eastAsia="宋体" w:cs="宋体"/>
          <w:sz w:val="21"/>
          <w:szCs w:val="21"/>
        </w:rPr>
        <w:t>、</w:t>
      </w:r>
      <w:r>
        <w:rPr>
          <w:rFonts w:ascii="宋体" w:hAnsi="宋体" w:eastAsia="宋体" w:cs="宋体"/>
          <w:sz w:val="21"/>
          <w:szCs w:val="21"/>
        </w:rPr>
        <w:t>统计</w:t>
      </w:r>
      <w:r>
        <w:rPr>
          <w:rFonts w:hint="eastAsia" w:ascii="宋体" w:hAnsi="宋体" w:eastAsia="宋体" w:cs="宋体"/>
          <w:sz w:val="21"/>
          <w:szCs w:val="21"/>
        </w:rPr>
        <w:t>、</w:t>
      </w:r>
      <w:r>
        <w:rPr>
          <w:rFonts w:ascii="宋体" w:hAnsi="宋体" w:eastAsia="宋体" w:cs="宋体"/>
          <w:sz w:val="21"/>
          <w:szCs w:val="21"/>
        </w:rPr>
        <w:t>管理</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4. </w:t>
      </w:r>
      <w:r>
        <w:rPr>
          <w:rFonts w:hint="eastAsia" w:ascii="宋体" w:hAnsi="宋体" w:eastAsia="宋体" w:cs="宋体"/>
          <w:sz w:val="21"/>
          <w:szCs w:val="21"/>
        </w:rPr>
        <w:t>密封点、</w:t>
      </w:r>
      <w:r>
        <w:rPr>
          <w:rFonts w:ascii="宋体" w:hAnsi="宋体" w:eastAsia="宋体" w:cs="宋体"/>
          <w:sz w:val="21"/>
          <w:szCs w:val="21"/>
        </w:rPr>
        <w:t>泄漏点等的分类统计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ascii="宋体" w:hAnsi="宋体" w:eastAsia="宋体" w:cs="宋体"/>
          <w:sz w:val="21"/>
          <w:szCs w:val="21"/>
        </w:rPr>
        <w:t xml:space="preserve">5. </w:t>
      </w:r>
      <w:r>
        <w:rPr>
          <w:rFonts w:hint="eastAsia" w:ascii="宋体" w:hAnsi="宋体" w:eastAsia="宋体" w:cs="宋体"/>
          <w:sz w:val="21"/>
          <w:szCs w:val="21"/>
        </w:rPr>
        <w:t>各装置</w:t>
      </w:r>
      <w:r>
        <w:rPr>
          <w:rFonts w:ascii="宋体" w:hAnsi="宋体" w:eastAsia="宋体" w:cs="宋体"/>
          <w:sz w:val="21"/>
          <w:szCs w:val="21"/>
        </w:rPr>
        <w:t>泄漏量、减排量</w:t>
      </w:r>
      <w:r>
        <w:rPr>
          <w:rFonts w:hint="eastAsia" w:ascii="宋体" w:hAnsi="宋体" w:eastAsia="宋体" w:cs="宋体"/>
          <w:sz w:val="21"/>
          <w:szCs w:val="21"/>
        </w:rPr>
        <w:t>、</w:t>
      </w:r>
      <w:r>
        <w:rPr>
          <w:rFonts w:ascii="宋体" w:hAnsi="宋体" w:eastAsia="宋体" w:cs="宋体"/>
          <w:sz w:val="21"/>
          <w:szCs w:val="21"/>
        </w:rPr>
        <w:t>泄漏量浓度等的计算统计分析</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6. 装置泄漏量分物料统计</w:t>
      </w:r>
      <w:r>
        <w:rPr>
          <w:rFonts w:ascii="宋体" w:hAnsi="宋体" w:eastAsia="宋体" w:cs="宋体"/>
          <w:sz w:val="21"/>
          <w:szCs w:val="21"/>
        </w:rPr>
        <w:t>、</w:t>
      </w:r>
      <w:r>
        <w:rPr>
          <w:rFonts w:hint="eastAsia" w:ascii="宋体" w:hAnsi="宋体" w:eastAsia="宋体" w:cs="宋体"/>
          <w:sz w:val="21"/>
          <w:szCs w:val="21"/>
        </w:rPr>
        <w:t>装置</w:t>
      </w:r>
      <w:r>
        <w:rPr>
          <w:rFonts w:ascii="宋体" w:hAnsi="宋体" w:eastAsia="宋体" w:cs="宋体"/>
          <w:sz w:val="21"/>
          <w:szCs w:val="21"/>
        </w:rPr>
        <w:t>历史检测统计分析等</w:t>
      </w:r>
      <w:r>
        <w:rPr>
          <w:rFonts w:hint="eastAsia" w:ascii="宋体" w:hAnsi="宋体" w:eastAsia="宋体" w:cs="宋体"/>
          <w:sz w:val="21"/>
          <w:szCs w:val="21"/>
        </w:rPr>
        <w:t>；</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 xml:space="preserve"> </w:t>
      </w:r>
      <w:r>
        <w:rPr>
          <w:rFonts w:hint="eastAsia" w:ascii="宋体" w:hAnsi="宋体" w:eastAsia="宋体" w:cs="宋体"/>
          <w:sz w:val="21"/>
          <w:szCs w:val="21"/>
        </w:rPr>
        <w:t>设备</w:t>
      </w:r>
      <w:r>
        <w:rPr>
          <w:rFonts w:ascii="宋体" w:hAnsi="宋体" w:eastAsia="宋体" w:cs="宋体"/>
          <w:sz w:val="21"/>
          <w:szCs w:val="21"/>
        </w:rPr>
        <w:t>工艺物料分析</w:t>
      </w:r>
      <w:r>
        <w:rPr>
          <w:rFonts w:hint="eastAsia" w:ascii="宋体" w:hAnsi="宋体" w:eastAsia="宋体" w:cs="宋体"/>
          <w:sz w:val="21"/>
          <w:szCs w:val="21"/>
        </w:rPr>
        <w:t>。</w:t>
      </w:r>
    </w:p>
    <w:p>
      <w:pPr>
        <w:pStyle w:val="2"/>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VOC</w:t>
      </w:r>
      <w:r>
        <w:rPr>
          <w:rFonts w:ascii="宋体" w:hAnsi="宋体" w:eastAsia="宋体" w:cs="宋体"/>
          <w:kern w:val="0"/>
          <w:sz w:val="21"/>
          <w:szCs w:val="21"/>
        </w:rPr>
        <w:t>s管控平台</w:t>
      </w:r>
      <w:r>
        <w:rPr>
          <w:rFonts w:hint="eastAsia" w:ascii="宋体" w:hAnsi="宋体" w:eastAsia="宋体" w:cs="宋体"/>
          <w:kern w:val="0"/>
          <w:sz w:val="21"/>
          <w:szCs w:val="21"/>
        </w:rPr>
        <w:t>以上</w:t>
      </w:r>
      <w:r>
        <w:rPr>
          <w:rFonts w:ascii="宋体" w:hAnsi="宋体" w:eastAsia="宋体" w:cs="宋体"/>
          <w:kern w:val="0"/>
          <w:sz w:val="21"/>
          <w:szCs w:val="21"/>
        </w:rPr>
        <w:t>功能的实现，</w:t>
      </w:r>
      <w:r>
        <w:rPr>
          <w:rFonts w:hint="eastAsia" w:ascii="宋体" w:hAnsi="宋体" w:eastAsia="宋体" w:cs="宋体"/>
          <w:kern w:val="0"/>
          <w:sz w:val="21"/>
          <w:szCs w:val="21"/>
        </w:rPr>
        <w:t>为企业</w:t>
      </w:r>
      <w:r>
        <w:rPr>
          <w:rFonts w:ascii="宋体" w:hAnsi="宋体" w:eastAsia="宋体" w:cs="宋体"/>
          <w:kern w:val="0"/>
          <w:sz w:val="21"/>
          <w:szCs w:val="21"/>
        </w:rPr>
        <w:t>建立起设备密封点数据库</w:t>
      </w:r>
      <w:r>
        <w:rPr>
          <w:rFonts w:hint="eastAsia" w:ascii="宋体" w:hAnsi="宋体" w:eastAsia="宋体" w:cs="宋体"/>
          <w:kern w:val="0"/>
          <w:sz w:val="21"/>
          <w:szCs w:val="21"/>
        </w:rPr>
        <w:t>，为</w:t>
      </w:r>
      <w:r>
        <w:rPr>
          <w:rFonts w:ascii="宋体" w:hAnsi="宋体" w:eastAsia="宋体" w:cs="宋体"/>
          <w:kern w:val="0"/>
          <w:sz w:val="21"/>
          <w:szCs w:val="21"/>
        </w:rPr>
        <w:t>现场检测和后续</w:t>
      </w:r>
      <w:r>
        <w:rPr>
          <w:rFonts w:hint="eastAsia" w:ascii="宋体" w:hAnsi="宋体" w:eastAsia="宋体" w:cs="宋体"/>
          <w:kern w:val="0"/>
          <w:sz w:val="21"/>
          <w:szCs w:val="21"/>
        </w:rPr>
        <w:t>修复效果</w:t>
      </w:r>
      <w:r>
        <w:rPr>
          <w:rFonts w:ascii="宋体" w:hAnsi="宋体" w:eastAsia="宋体" w:cs="宋体"/>
          <w:kern w:val="0"/>
          <w:sz w:val="21"/>
          <w:szCs w:val="21"/>
        </w:rPr>
        <w:t>的跟踪提供</w:t>
      </w:r>
      <w:r>
        <w:rPr>
          <w:rFonts w:hint="eastAsia" w:ascii="宋体" w:hAnsi="宋体" w:eastAsia="宋体" w:cs="宋体"/>
          <w:kern w:val="0"/>
          <w:sz w:val="21"/>
          <w:szCs w:val="21"/>
        </w:rPr>
        <w:t>信息</w:t>
      </w:r>
      <w:r>
        <w:rPr>
          <w:rFonts w:ascii="宋体" w:hAnsi="宋体" w:eastAsia="宋体" w:cs="宋体"/>
          <w:kern w:val="0"/>
          <w:sz w:val="21"/>
          <w:szCs w:val="21"/>
        </w:rPr>
        <w:t>管理支持</w:t>
      </w:r>
      <w:r>
        <w:rPr>
          <w:rFonts w:hint="eastAsia" w:ascii="宋体" w:hAnsi="宋体" w:eastAsia="宋体" w:cs="宋体"/>
          <w:kern w:val="0"/>
          <w:sz w:val="21"/>
          <w:szCs w:val="21"/>
        </w:rPr>
        <w:t>。该系统</w:t>
      </w:r>
      <w:r>
        <w:rPr>
          <w:rFonts w:ascii="宋体" w:hAnsi="宋体" w:eastAsia="宋体" w:cs="宋体"/>
          <w:kern w:val="0"/>
          <w:sz w:val="21"/>
          <w:szCs w:val="21"/>
        </w:rPr>
        <w:t>不但能够实现</w:t>
      </w:r>
      <w:r>
        <w:rPr>
          <w:rFonts w:hint="eastAsia" w:ascii="宋体" w:hAnsi="宋体" w:eastAsia="宋体" w:cs="宋体"/>
          <w:kern w:val="0"/>
          <w:sz w:val="21"/>
          <w:szCs w:val="21"/>
        </w:rPr>
        <w:t>泄漏</w:t>
      </w:r>
      <w:r>
        <w:rPr>
          <w:rFonts w:ascii="宋体" w:hAnsi="宋体" w:eastAsia="宋体" w:cs="宋体"/>
          <w:kern w:val="0"/>
          <w:sz w:val="21"/>
          <w:szCs w:val="21"/>
        </w:rPr>
        <w:t>密封点的</w:t>
      </w:r>
      <w:r>
        <w:rPr>
          <w:rFonts w:hint="eastAsia" w:ascii="宋体" w:hAnsi="宋体" w:eastAsia="宋体" w:cs="宋体"/>
          <w:kern w:val="0"/>
          <w:sz w:val="21"/>
          <w:szCs w:val="21"/>
        </w:rPr>
        <w:t>提报</w:t>
      </w:r>
      <w:r>
        <w:rPr>
          <w:rFonts w:ascii="宋体" w:hAnsi="宋体" w:eastAsia="宋体" w:cs="宋体"/>
          <w:kern w:val="0"/>
          <w:sz w:val="21"/>
          <w:szCs w:val="21"/>
        </w:rPr>
        <w:t>、管理、整改的信息，</w:t>
      </w:r>
      <w:r>
        <w:rPr>
          <w:rFonts w:hint="eastAsia" w:ascii="宋体" w:hAnsi="宋体" w:eastAsia="宋体" w:cs="宋体"/>
          <w:kern w:val="0"/>
          <w:sz w:val="21"/>
          <w:szCs w:val="21"/>
        </w:rPr>
        <w:t>而且</w:t>
      </w:r>
      <w:r>
        <w:rPr>
          <w:rFonts w:ascii="宋体" w:hAnsi="宋体" w:eastAsia="宋体" w:cs="宋体"/>
          <w:kern w:val="0"/>
          <w:sz w:val="21"/>
          <w:szCs w:val="21"/>
        </w:rPr>
        <w:t>还能实现泄漏量</w:t>
      </w:r>
      <w:r>
        <w:rPr>
          <w:rFonts w:hint="eastAsia" w:ascii="宋体" w:hAnsi="宋体" w:eastAsia="宋体" w:cs="宋体"/>
          <w:kern w:val="0"/>
          <w:sz w:val="21"/>
          <w:szCs w:val="21"/>
        </w:rPr>
        <w:t>、</w:t>
      </w:r>
      <w:r>
        <w:rPr>
          <w:rFonts w:ascii="宋体" w:hAnsi="宋体" w:eastAsia="宋体" w:cs="宋体"/>
          <w:kern w:val="0"/>
          <w:sz w:val="21"/>
          <w:szCs w:val="21"/>
        </w:rPr>
        <w:t>减排量、泄漏量浓度以及检测历史的</w:t>
      </w:r>
      <w:r>
        <w:rPr>
          <w:rFonts w:hint="eastAsia" w:ascii="宋体" w:hAnsi="宋体" w:eastAsia="宋体" w:cs="宋体"/>
          <w:kern w:val="0"/>
          <w:sz w:val="21"/>
          <w:szCs w:val="21"/>
        </w:rPr>
        <w:t>计算</w:t>
      </w:r>
      <w:r>
        <w:rPr>
          <w:rFonts w:ascii="宋体" w:hAnsi="宋体" w:eastAsia="宋体" w:cs="宋体"/>
          <w:kern w:val="0"/>
          <w:sz w:val="21"/>
          <w:szCs w:val="21"/>
        </w:rPr>
        <w:t>统计分析等</w:t>
      </w:r>
      <w:r>
        <w:rPr>
          <w:rFonts w:hint="eastAsia" w:ascii="宋体" w:hAnsi="宋体" w:eastAsia="宋体" w:cs="宋体"/>
          <w:kern w:val="0"/>
          <w:sz w:val="21"/>
          <w:szCs w:val="21"/>
        </w:rPr>
        <w:t>，</w:t>
      </w:r>
      <w:r>
        <w:rPr>
          <w:rFonts w:ascii="宋体" w:hAnsi="宋体" w:eastAsia="宋体" w:cs="宋体"/>
          <w:kern w:val="0"/>
          <w:sz w:val="21"/>
          <w:szCs w:val="21"/>
        </w:rPr>
        <w:t>从而简化企业</w:t>
      </w:r>
      <w:r>
        <w:rPr>
          <w:rFonts w:hint="eastAsia" w:ascii="宋体" w:hAnsi="宋体" w:eastAsia="宋体" w:cs="宋体"/>
          <w:kern w:val="0"/>
          <w:sz w:val="21"/>
          <w:szCs w:val="21"/>
        </w:rPr>
        <w:t>VOC</w:t>
      </w:r>
      <w:r>
        <w:rPr>
          <w:rFonts w:ascii="宋体" w:hAnsi="宋体" w:eastAsia="宋体" w:cs="宋体"/>
          <w:kern w:val="0"/>
          <w:sz w:val="21"/>
          <w:szCs w:val="21"/>
        </w:rPr>
        <w:t>s的治理程序，节省人力</w:t>
      </w:r>
      <w:r>
        <w:rPr>
          <w:rFonts w:hint="eastAsia" w:ascii="宋体" w:hAnsi="宋体" w:eastAsia="宋体" w:cs="宋体"/>
          <w:kern w:val="0"/>
          <w:sz w:val="21"/>
          <w:szCs w:val="21"/>
        </w:rPr>
        <w:t>物力</w:t>
      </w:r>
      <w:r>
        <w:rPr>
          <w:rFonts w:ascii="宋体" w:hAnsi="宋体" w:eastAsia="宋体" w:cs="宋体"/>
          <w:kern w:val="0"/>
          <w:sz w:val="21"/>
          <w:szCs w:val="21"/>
        </w:rPr>
        <w:t>，降低</w:t>
      </w:r>
      <w:r>
        <w:rPr>
          <w:rFonts w:hint="eastAsia" w:ascii="宋体" w:hAnsi="宋体" w:eastAsia="宋体" w:cs="宋体"/>
          <w:kern w:val="0"/>
          <w:sz w:val="21"/>
          <w:szCs w:val="21"/>
        </w:rPr>
        <w:t>物料</w:t>
      </w:r>
      <w:r>
        <w:rPr>
          <w:rFonts w:ascii="宋体" w:hAnsi="宋体" w:eastAsia="宋体" w:cs="宋体"/>
          <w:kern w:val="0"/>
          <w:sz w:val="21"/>
          <w:szCs w:val="21"/>
        </w:rPr>
        <w:t>损耗，</w:t>
      </w:r>
      <w:r>
        <w:rPr>
          <w:rFonts w:hint="eastAsia" w:ascii="宋体" w:hAnsi="宋体" w:eastAsia="宋体" w:cs="宋体"/>
          <w:kern w:val="0"/>
          <w:sz w:val="21"/>
          <w:szCs w:val="21"/>
        </w:rPr>
        <w:t>为</w:t>
      </w:r>
      <w:r>
        <w:rPr>
          <w:rFonts w:ascii="宋体" w:hAnsi="宋体" w:eastAsia="宋体" w:cs="宋体"/>
          <w:kern w:val="0"/>
          <w:sz w:val="21"/>
          <w:szCs w:val="21"/>
        </w:rPr>
        <w:t>企业</w:t>
      </w:r>
      <w:r>
        <w:rPr>
          <w:rFonts w:hint="eastAsia" w:ascii="宋体" w:hAnsi="宋体" w:eastAsia="宋体" w:cs="宋体"/>
          <w:kern w:val="0"/>
          <w:sz w:val="21"/>
          <w:szCs w:val="21"/>
        </w:rPr>
        <w:t>带来</w:t>
      </w:r>
      <w:r>
        <w:rPr>
          <w:rFonts w:ascii="宋体" w:hAnsi="宋体" w:eastAsia="宋体" w:cs="宋体"/>
          <w:kern w:val="0"/>
          <w:sz w:val="21"/>
          <w:szCs w:val="21"/>
        </w:rPr>
        <w:t>更多的经济效益</w:t>
      </w:r>
      <w:r>
        <w:rPr>
          <w:rFonts w:hint="eastAsia" w:ascii="宋体" w:hAnsi="宋体" w:eastAsia="宋体" w:cs="宋体"/>
          <w:kern w:val="0"/>
          <w:sz w:val="21"/>
          <w:szCs w:val="21"/>
        </w:rPr>
        <w:t>，减少</w:t>
      </w:r>
      <w:r>
        <w:rPr>
          <w:rFonts w:ascii="宋体" w:hAnsi="宋体" w:eastAsia="宋体" w:cs="宋体"/>
          <w:kern w:val="0"/>
          <w:sz w:val="21"/>
          <w:szCs w:val="21"/>
        </w:rPr>
        <w:t>环境污，</w:t>
      </w:r>
      <w:r>
        <w:rPr>
          <w:rFonts w:hint="eastAsia" w:ascii="宋体" w:hAnsi="宋体" w:eastAsia="宋体" w:cs="宋体"/>
          <w:kern w:val="0"/>
          <w:sz w:val="21"/>
          <w:szCs w:val="21"/>
        </w:rPr>
        <w:t>改善</w:t>
      </w:r>
      <w:r>
        <w:rPr>
          <w:rFonts w:ascii="宋体" w:hAnsi="宋体" w:eastAsia="宋体" w:cs="宋体"/>
          <w:kern w:val="0"/>
          <w:sz w:val="21"/>
          <w:szCs w:val="21"/>
        </w:rPr>
        <w:t>大气环境质量</w:t>
      </w:r>
      <w:r>
        <w:rPr>
          <w:rFonts w:hint="eastAsia" w:ascii="宋体" w:hAnsi="宋体" w:eastAsia="宋体" w:cs="宋体"/>
          <w:kern w:val="0"/>
          <w:sz w:val="21"/>
          <w:szCs w:val="21"/>
        </w:rPr>
        <w:t>。</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宋体" w:hAnsi="宋体" w:eastAsia="宋体" w:cs="宋体"/>
          <w:lang w:val="en-US" w:eastAsia="zh-CN"/>
        </w:rPr>
      </w:pPr>
      <w:bookmarkStart w:id="72" w:name="_Toc31219"/>
      <w:r>
        <w:rPr>
          <w:rFonts w:hint="eastAsia" w:ascii="宋体" w:hAnsi="宋体" w:eastAsia="宋体" w:cs="宋体"/>
          <w:lang w:val="en-US" w:eastAsia="zh-CN"/>
        </w:rPr>
        <w:t>3.3 现场检测记录</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r>
        <w:rPr>
          <w:rFonts w:hint="eastAsia" w:ascii="宋体" w:hAnsi="宋体" w:eastAsia="宋体" w:cs="宋体"/>
          <w:sz w:val="21"/>
          <w:szCs w:val="21"/>
        </w:rPr>
        <w:t>现场检测记录情况，以列表方式记录，内容涵盖检测日期、检测时间、物料状态、背景值、检测值、泄漏定义浓度值、密封点编码、群组编码、区域、装置、密封点类型等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见</w:t>
      </w:r>
      <w:r>
        <w:rPr>
          <w:rFonts w:hint="eastAsia" w:ascii="宋体" w:hAnsi="宋体" w:eastAsia="宋体" w:cs="宋体"/>
          <w:sz w:val="21"/>
          <w:szCs w:val="21"/>
          <w:lang w:eastAsia="zh-CN"/>
        </w:rPr>
        <w:t>泄漏检测与修复（LDAR）</w:t>
      </w:r>
      <w:r>
        <w:rPr>
          <w:rFonts w:hint="eastAsia" w:ascii="宋体" w:hAnsi="宋体" w:eastAsia="宋体" w:cs="宋体"/>
          <w:sz w:val="21"/>
          <w:szCs w:val="21"/>
        </w:rPr>
        <w:t>密封点</w:t>
      </w:r>
      <w:r>
        <w:rPr>
          <w:rFonts w:hint="eastAsia" w:ascii="宋体" w:hAnsi="宋体" w:eastAsia="宋体" w:cs="宋体"/>
          <w:sz w:val="21"/>
          <w:szCs w:val="21"/>
          <w:lang w:val="en-US" w:eastAsia="zh-CN"/>
        </w:rPr>
        <w:t>检测</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lang w:eastAsia="zh-CN"/>
        </w:rPr>
      </w:pPr>
    </w:p>
    <w:tbl>
      <w:tblPr>
        <w:tblStyle w:val="12"/>
        <w:tblW w:w="439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764"/>
        <w:gridCol w:w="489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5000" w:type="pct"/>
            <w:gridSpan w:val="2"/>
            <w:vAlign w:val="center"/>
          </w:tcPr>
          <w:p>
            <w:pPr>
              <w:spacing w:before="312" w:after="312"/>
              <w:ind w:firstLine="482"/>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环境背景采样表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2173" w:type="pct"/>
            <w:vAlign w:val="center"/>
          </w:tcPr>
          <w:p>
            <w:pPr>
              <w:spacing w:line="240" w:lineRule="exact"/>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环境背景测试采样点</w:t>
            </w:r>
          </w:p>
        </w:tc>
        <w:tc>
          <w:tcPr>
            <w:tcW w:w="2826" w:type="pct"/>
            <w:vAlign w:val="center"/>
          </w:tcPr>
          <w:p>
            <w:pPr>
              <w:spacing w:before="312" w:after="312"/>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环境背景采样示意图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2173" w:type="pct"/>
            <w:vAlign w:val="center"/>
          </w:tcPr>
          <w:p>
            <w:pPr>
              <w:spacing w:line="240" w:lineRule="exact"/>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采样点A</w:t>
            </w:r>
          </w:p>
        </w:tc>
        <w:tc>
          <w:tcPr>
            <w:tcW w:w="2826" w:type="pct"/>
            <w:vMerge w:val="restart"/>
          </w:tcPr>
          <w:p>
            <w:pPr>
              <w:spacing w:before="312" w:after="312"/>
              <w:ind w:right="420" w:firstLine="2108" w:firstLineChars="10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2415540</wp:posOffset>
                      </wp:positionH>
                      <wp:positionV relativeFrom="paragraph">
                        <wp:posOffset>440690</wp:posOffset>
                      </wp:positionV>
                      <wp:extent cx="111760" cy="219075"/>
                      <wp:effectExtent l="6350" t="19050" r="15240" b="9525"/>
                      <wp:wrapNone/>
                      <wp:docPr id="12" name="等腰三角形 12"/>
                      <wp:cNvGraphicFramePr/>
                      <a:graphic xmlns:a="http://schemas.openxmlformats.org/drawingml/2006/main">
                        <a:graphicData uri="http://schemas.microsoft.com/office/word/2010/wordprocessingShape">
                          <wps:wsp>
                            <wps:cNvSpPr/>
                            <wps:spPr>
                              <a:xfrm>
                                <a:off x="0" y="0"/>
                                <a:ext cx="111760" cy="219075"/>
                              </a:xfrm>
                              <a:prstGeom prst="triangle">
                                <a:avLst>
                                  <a:gd name="adj" fmla="val 50000"/>
                                </a:avLst>
                              </a:prstGeom>
                              <a:solidFill>
                                <a:srgbClr val="000000"/>
                              </a:solidFill>
                              <a:ln w="9525" cap="flat" cmpd="sng">
                                <a:solidFill>
                                  <a:srgbClr val="000000"/>
                                </a:solidFill>
                                <a:prstDash val="solid"/>
                                <a:miter/>
                                <a:headEnd type="none" w="med" len="med"/>
                                <a:tailEnd type="none" w="med" len="med"/>
                              </a:ln>
                              <a:effectLst/>
                            </wps:spPr>
                            <wps:txbx>
                              <w:txbxContent>
                                <w:p>
                                  <w:pPr>
                                    <w:spacing w:before="312" w:after="312"/>
                                    <w:ind w:firstLine="480"/>
                                  </w:pPr>
                                  <w:r>
                                    <w:rPr>
                                      <w:rFonts w:hint="eastAsia" w:ascii="微软雅黑" w:hAnsi="微软雅黑"/>
                                    </w:rPr>
                                    <w:t>▲▲</w:t>
                                  </w:r>
                                </w:p>
                              </w:txbxContent>
                            </wps:txbx>
                            <wps:bodyPr wrap="square" upright="1"/>
                          </wps:wsp>
                        </a:graphicData>
                      </a:graphic>
                    </wp:anchor>
                  </w:drawing>
                </mc:Choice>
                <mc:Fallback>
                  <w:pict>
                    <v:shape id="_x0000_s1026" o:spid="_x0000_s1026" o:spt="5" type="#_x0000_t5" style="position:absolute;left:0pt;margin-left:190.2pt;margin-top:34.7pt;height:17.25pt;width:8.8pt;z-index:251667456;mso-width-relative:page;mso-height-relative:page;" fillcolor="#000000" filled="t" stroked="t" coordsize="21600,21600" o:gfxdata="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NTcj2AAAAAoBAAAPAAAAAAAAAAEAIAAAACIAAABkcnMvZG93bnJl&#10;di54bWxQSwECFAAUAAAACACHTuJAic2ZKTYCAAB/BAAADgAAAAAAAAABACAAAAAnAQAAZHJzL2Uy&#10;b0RvYy54bWxQSwUGAAAAAAYABgBZAQAAzwUAAAAA&#10;" adj="10800">
                      <v:fill on="t" focussize="0,0"/>
                      <v:stroke color="#000000" joinstyle="miter"/>
                      <v:imagedata o:title=""/>
                      <o:lock v:ext="edit" aspectratio="f"/>
                      <v:textbox>
                        <w:txbxContent>
                          <w:p>
                            <w:pPr>
                              <w:spacing w:before="312" w:after="312"/>
                              <w:ind w:firstLine="480"/>
                            </w:pPr>
                            <w:r>
                              <w:rPr>
                                <w:rFonts w:hint="eastAsia" w:ascii="微软雅黑" w:hAnsi="微软雅黑"/>
                              </w:rPr>
                              <w:t>▲▲</w:t>
                            </w:r>
                          </w:p>
                        </w:txbxContent>
                      </v:textbox>
                    </v:shape>
                  </w:pict>
                </mc:Fallback>
              </mc:AlternateConten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b/>
                <w:bCs/>
                <w:color w:val="000000" w:themeColor="text1"/>
                <w:sz w:val="21"/>
                <w:szCs w:val="21"/>
                <w:lang w:val="en-US" w:eastAsia="zh-CN"/>
                <w14:textFill>
                  <w14:solidFill>
                    <w14:schemeClr w14:val="tx1"/>
                  </w14:solidFill>
                </w14:textFill>
              </w:rPr>
              <w:t>北</w:t>
            </w:r>
          </w:p>
          <w:p>
            <w:pPr>
              <w:spacing w:before="312" w:after="312"/>
              <w:ind w:right="420" w:firstLine="2100" w:firstLineChars="1000"/>
              <w:rPr>
                <w:rFonts w:hint="eastAsia" w:ascii="宋体" w:hAnsi="宋体" w:eastAsia="宋体" w:cs="宋体"/>
                <w:color w:val="000000" w:themeColor="text1"/>
                <w:sz w:val="21"/>
                <w:szCs w:val="21"/>
                <w14:textFill>
                  <w14:solidFill>
                    <w14:schemeClr w14:val="tx1"/>
                  </w14:solidFill>
                </w14:textFill>
              </w:rPr>
            </w:pPr>
          </w:p>
          <w:p>
            <w:pPr>
              <w:spacing w:before="312" w:after="312"/>
              <w:ind w:right="420" w:firstLine="2310" w:firstLineChars="1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B●      </w:t>
            </w:r>
          </w:p>
          <w:p>
            <w:pPr>
              <w:spacing w:before="312" w:after="312"/>
              <w:ind w:firstLine="480"/>
              <w:rPr>
                <w:rFonts w:hint="eastAsia" w:ascii="宋体" w:hAnsi="宋体" w:eastAsia="宋体" w:cs="宋体"/>
                <w:color w:val="000000" w:themeColor="text1"/>
                <w:sz w:val="21"/>
                <w:szCs w:val="21"/>
                <w14:textFill>
                  <w14:solidFill>
                    <w14:schemeClr w14:val="tx1"/>
                  </w14:solidFill>
                </w14:textFill>
              </w:rPr>
            </w:pPr>
          </w:p>
          <w:p>
            <w:pPr>
              <w:spacing w:before="312" w:after="312"/>
              <w:ind w:firstLine="480"/>
              <w:rPr>
                <w:rFonts w:hint="eastAsia" w:ascii="宋体" w:hAnsi="宋体" w:eastAsia="宋体" w:cs="宋体"/>
                <w:color w:val="000000" w:themeColor="text1"/>
                <w:sz w:val="21"/>
                <w:szCs w:val="21"/>
                <w14:textFill>
                  <w14:solidFill>
                    <w14:schemeClr w14:val="tx1"/>
                  </w14:solidFill>
                </w14:textFill>
              </w:rPr>
            </w:pPr>
          </w:p>
          <w:p>
            <w:pPr>
              <w:spacing w:before="312" w:after="312"/>
              <w:ind w:right="105" w:firstLine="840" w:firstLineChars="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●C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E●         A●</w:t>
            </w:r>
          </w:p>
          <w:p>
            <w:pPr>
              <w:spacing w:before="312" w:after="312"/>
              <w:ind w:firstLine="480"/>
              <w:rPr>
                <w:rFonts w:hint="eastAsia" w:ascii="宋体" w:hAnsi="宋体" w:eastAsia="宋体" w:cs="宋体"/>
                <w:color w:val="000000" w:themeColor="text1"/>
                <w:sz w:val="21"/>
                <w:szCs w:val="21"/>
                <w14:textFill>
                  <w14:solidFill>
                    <w14:schemeClr w14:val="tx1"/>
                  </w14:solidFill>
                </w14:textFill>
              </w:rPr>
            </w:pPr>
          </w:p>
          <w:p>
            <w:pPr>
              <w:spacing w:before="312" w:after="312"/>
              <w:ind w:firstLine="480"/>
              <w:rPr>
                <w:rFonts w:hint="eastAsia" w:ascii="宋体" w:hAnsi="宋体" w:eastAsia="宋体" w:cs="宋体"/>
                <w:color w:val="000000" w:themeColor="text1"/>
                <w:sz w:val="21"/>
                <w:szCs w:val="21"/>
                <w14:textFill>
                  <w14:solidFill>
                    <w14:schemeClr w14:val="tx1"/>
                  </w14:solidFill>
                </w14:textFill>
              </w:rPr>
            </w:pPr>
          </w:p>
          <w:p>
            <w:pPr>
              <w:spacing w:before="312" w:after="312"/>
              <w:ind w:right="105"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D●</w:t>
            </w:r>
          </w:p>
          <w:p>
            <w:pPr>
              <w:spacing w:before="312" w:after="312"/>
              <w:ind w:firstLine="211" w:firstLineChars="100"/>
              <w:jc w:val="center"/>
              <w:rPr>
                <w:rFonts w:hint="eastAsia" w:ascii="宋体" w:hAnsi="宋体" w:eastAsia="宋体" w:cs="宋体"/>
                <w:b/>
                <w:color w:val="000000" w:themeColor="text1"/>
                <w:sz w:val="21"/>
                <w:szCs w:val="21"/>
                <w14:textFill>
                  <w14:solidFill>
                    <w14:schemeClr w14:val="tx1"/>
                  </w14:solidFill>
                </w14:textFill>
              </w:rPr>
            </w:pPr>
          </w:p>
          <w:p>
            <w:pPr>
              <w:spacing w:before="312" w:after="312"/>
              <w:ind w:firstLine="482"/>
              <w:jc w:val="center"/>
              <w:rPr>
                <w:rFonts w:hint="eastAsia" w:ascii="宋体" w:hAnsi="宋体" w:eastAsia="宋体" w:cs="宋体"/>
                <w:b/>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2173" w:type="pct"/>
            <w:vAlign w:val="center"/>
          </w:tcPr>
          <w:p>
            <w:pPr>
              <w:spacing w:line="240" w:lineRule="exact"/>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采样点B</w:t>
            </w:r>
          </w:p>
        </w:tc>
        <w:tc>
          <w:tcPr>
            <w:tcW w:w="2826" w:type="pct"/>
            <w:vMerge w:val="continue"/>
          </w:tcPr>
          <w:p>
            <w:pPr>
              <w:spacing w:before="312" w:after="312"/>
              <w:ind w:firstLine="482"/>
              <w:jc w:val="center"/>
              <w:rPr>
                <w:rFonts w:hint="eastAsia" w:ascii="宋体" w:hAnsi="宋体" w:eastAsia="宋体" w:cs="宋体"/>
                <w:b/>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2173" w:type="pct"/>
            <w:vAlign w:val="center"/>
          </w:tcPr>
          <w:p>
            <w:pPr>
              <w:spacing w:line="240" w:lineRule="exact"/>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采样点C</w:t>
            </w:r>
          </w:p>
        </w:tc>
        <w:tc>
          <w:tcPr>
            <w:tcW w:w="2826" w:type="pct"/>
            <w:vMerge w:val="continue"/>
          </w:tcPr>
          <w:p>
            <w:pPr>
              <w:spacing w:before="312" w:after="312"/>
              <w:ind w:firstLine="482"/>
              <w:jc w:val="center"/>
              <w:rPr>
                <w:rFonts w:hint="eastAsia" w:ascii="宋体" w:hAnsi="宋体" w:eastAsia="宋体" w:cs="宋体"/>
                <w:b/>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2173" w:type="pct"/>
            <w:vAlign w:val="center"/>
          </w:tcPr>
          <w:p>
            <w:pPr>
              <w:spacing w:line="240" w:lineRule="exact"/>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采样点D</w:t>
            </w:r>
          </w:p>
        </w:tc>
        <w:tc>
          <w:tcPr>
            <w:tcW w:w="2826" w:type="pct"/>
            <w:vMerge w:val="continue"/>
          </w:tcPr>
          <w:p>
            <w:pPr>
              <w:spacing w:before="312" w:after="312"/>
              <w:ind w:firstLine="482"/>
              <w:jc w:val="center"/>
              <w:rPr>
                <w:rFonts w:hint="eastAsia" w:ascii="宋体" w:hAnsi="宋体" w:eastAsia="宋体" w:cs="宋体"/>
                <w:b/>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86" w:hRule="atLeast"/>
          <w:jc w:val="center"/>
        </w:trPr>
        <w:tc>
          <w:tcPr>
            <w:tcW w:w="2173" w:type="pct"/>
            <w:vAlign w:val="center"/>
          </w:tcPr>
          <w:p>
            <w:pPr>
              <w:spacing w:line="240" w:lineRule="exact"/>
              <w:ind w:firstLine="482"/>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采样点E</w:t>
            </w:r>
          </w:p>
        </w:tc>
        <w:tc>
          <w:tcPr>
            <w:tcW w:w="2826" w:type="pct"/>
            <w:vMerge w:val="continue"/>
          </w:tcPr>
          <w:p>
            <w:pPr>
              <w:spacing w:before="312" w:after="312"/>
              <w:ind w:firstLine="482"/>
              <w:jc w:val="center"/>
              <w:rPr>
                <w:rFonts w:hint="eastAsia" w:ascii="宋体" w:hAnsi="宋体" w:eastAsia="宋体" w:cs="宋体"/>
                <w:b/>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firstLine="3584" w:firstLineChars="1700"/>
        <w:jc w:val="left"/>
        <w:textAlignment w:val="auto"/>
        <w:rPr>
          <w:rFonts w:hint="eastAsia"/>
          <w:b/>
          <w:bCs/>
          <w:color w:val="auto"/>
          <w:lang w:val="en-US" w:eastAsia="zh-CN"/>
        </w:rPr>
      </w:pPr>
      <w:r>
        <w:rPr>
          <w:rFonts w:hint="eastAsia" w:ascii="宋体" w:hAnsi="宋体" w:eastAsia="宋体" w:cs="宋体"/>
          <w:b/>
          <w:bCs/>
          <w:sz w:val="21"/>
          <w:szCs w:val="21"/>
        </w:rPr>
        <w:t>环境本底值检测位置示意图</w:t>
      </w:r>
      <w:bookmarkStart w:id="73" w:name="_Toc31257"/>
      <w:bookmarkStart w:id="74" w:name="_Toc13170"/>
      <w:bookmarkStart w:id="75" w:name="_Toc3"/>
      <w:bookmarkStart w:id="76" w:name="_Toc16051"/>
    </w:p>
    <w:p>
      <w:pPr>
        <w:pStyle w:val="3"/>
        <w:numPr>
          <w:ilvl w:val="0"/>
          <w:numId w:val="0"/>
        </w:numPr>
        <w:tabs>
          <w:tab w:val="left" w:pos="297"/>
          <w:tab w:val="clear" w:pos="432"/>
        </w:tabs>
        <w:spacing w:before="240"/>
        <w:ind w:leftChars="0"/>
        <w:rPr>
          <w:rFonts w:hint="eastAsia"/>
          <w:b/>
          <w:bCs/>
          <w:color w:val="auto"/>
          <w:lang w:val="en-US" w:eastAsia="zh-CN"/>
        </w:rPr>
      </w:pPr>
      <w:bookmarkStart w:id="77" w:name="_Toc2618"/>
    </w:p>
    <w:p>
      <w:pPr>
        <w:pStyle w:val="3"/>
        <w:numPr>
          <w:ilvl w:val="0"/>
          <w:numId w:val="0"/>
        </w:numPr>
        <w:tabs>
          <w:tab w:val="left" w:pos="297"/>
          <w:tab w:val="clear" w:pos="432"/>
        </w:tabs>
        <w:spacing w:before="240"/>
        <w:ind w:leftChars="0"/>
        <w:rPr>
          <w:rFonts w:hint="eastAsia"/>
          <w:b/>
          <w:bCs/>
          <w:color w:val="auto"/>
          <w:lang w:val="en-US" w:eastAsia="zh-CN"/>
        </w:rPr>
      </w:pPr>
      <w:r>
        <w:rPr>
          <w:rFonts w:hint="eastAsia"/>
          <w:b/>
          <w:bCs/>
          <w:color w:val="auto"/>
          <w:lang w:val="en-US" w:eastAsia="zh-CN"/>
        </w:rPr>
        <w:t>4.泄漏与修复</w:t>
      </w:r>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泄漏检测与修复：</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rPr>
          <w:rFonts w:hint="eastAsia"/>
          <w:lang w:val="en-US" w:eastAsia="zh-CN"/>
        </w:rPr>
      </w:pPr>
    </w:p>
    <w:p>
      <w:pPr>
        <w:pStyle w:val="4"/>
        <w:numPr>
          <w:ilvl w:val="1"/>
          <w:numId w:val="0"/>
        </w:numPr>
        <w:bidi w:val="0"/>
        <w:ind w:leftChars="0"/>
        <w:rPr>
          <w:rFonts w:hint="eastAsia"/>
          <w:lang w:val="en-US" w:eastAsia="zh-CN"/>
        </w:rPr>
      </w:pPr>
      <w:bookmarkStart w:id="78" w:name="_Toc30508"/>
      <w:bookmarkStart w:id="79" w:name="_Toc16907"/>
      <w:bookmarkStart w:id="80" w:name="_Toc4480"/>
      <w:bookmarkStart w:id="81" w:name="_Toc28174"/>
      <w:bookmarkStart w:id="82" w:name="_Toc16343"/>
      <w:r>
        <w:rPr>
          <w:rFonts w:hint="eastAsia"/>
          <w:lang w:val="en-US" w:eastAsia="zh-CN"/>
        </w:rPr>
        <w:t>4.1泄漏</w:t>
      </w:r>
      <w:r>
        <w:rPr>
          <w:rFonts w:hint="eastAsia"/>
        </w:rPr>
        <w:t>密封点</w:t>
      </w:r>
      <w:r>
        <w:t>统计</w:t>
      </w:r>
      <w:bookmarkEnd w:id="78"/>
      <w:bookmarkEnd w:id="79"/>
      <w:bookmarkEnd w:id="80"/>
      <w:bookmarkEnd w:id="81"/>
      <w:bookmarkEnd w:id="82"/>
    </w:p>
    <w:tbl>
      <w:tblPr>
        <w:tblStyle w:val="1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433"/>
        <w:gridCol w:w="1419"/>
        <w:gridCol w:w="1449"/>
        <w:gridCol w:w="1654"/>
        <w:gridCol w:w="1516"/>
        <w:gridCol w:w="9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tcBorders>
              <w:tl2br w:val="nil"/>
              <w:tr2bl w:val="nil"/>
            </w:tcBorders>
            <w:shd w:val="clear" w:color="auto" w:fill="auto"/>
            <w:vAlign w:val="center"/>
          </w:tcPr>
          <w:p>
            <w:pPr>
              <w:pStyle w:val="25"/>
              <w:rPr>
                <w:rFonts w:hint="eastAsia" w:ascii="宋体" w:hAnsi="宋体" w:eastAsia="宋体" w:cs="宋体"/>
                <w:b/>
                <w:bCs/>
                <w:color w:val="000000" w:themeColor="text1"/>
                <w:sz w:val="21"/>
                <w:szCs w:val="21"/>
                <w14:textFill>
                  <w14:solidFill>
                    <w14:schemeClr w14:val="tx1"/>
                  </w14:solidFill>
                </w14:textFill>
              </w:rPr>
            </w:pPr>
            <w:bookmarkStart w:id="83" w:name="_Toc14488"/>
            <w:bookmarkStart w:id="84" w:name="_Toc27555"/>
            <w:bookmarkStart w:id="85" w:name="_Toc13844"/>
            <w:r>
              <w:rPr>
                <w:rFonts w:hint="eastAsia" w:ascii="宋体" w:hAnsi="宋体" w:eastAsia="宋体" w:cs="宋体"/>
                <w:b/>
                <w:bCs/>
                <w:color w:val="000000" w:themeColor="text1"/>
                <w:sz w:val="21"/>
                <w:szCs w:val="21"/>
                <w14:textFill>
                  <w14:solidFill>
                    <w14:schemeClr w14:val="tx1"/>
                  </w14:solidFill>
                </w14:textFill>
              </w:rPr>
              <w:t>车间名称</w:t>
            </w:r>
            <w:bookmarkEnd w:id="83"/>
            <w:bookmarkEnd w:id="84"/>
            <w:bookmarkEnd w:id="85"/>
          </w:p>
        </w:tc>
        <w:tc>
          <w:tcPr>
            <w:tcW w:w="727"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86" w:name="_Toc24391"/>
            <w:bookmarkStart w:id="87" w:name="_Toc27764"/>
            <w:bookmarkStart w:id="88" w:name="_Toc11063"/>
            <w:r>
              <w:rPr>
                <w:rFonts w:hint="eastAsia"/>
                <w:b/>
                <w:bCs/>
                <w:color w:val="000000" w:themeColor="text1"/>
                <w:sz w:val="21"/>
                <w:szCs w:val="21"/>
                <w14:textFill>
                  <w14:solidFill>
                    <w14:schemeClr w14:val="tx1"/>
                  </w14:solidFill>
                </w14:textFill>
              </w:rPr>
              <w:t>建档密封点数量（个）</w:t>
            </w:r>
            <w:bookmarkEnd w:id="86"/>
            <w:bookmarkEnd w:id="87"/>
            <w:bookmarkEnd w:id="88"/>
          </w:p>
        </w:tc>
        <w:tc>
          <w:tcPr>
            <w:tcW w:w="720"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89" w:name="_Toc1995"/>
            <w:r>
              <w:rPr>
                <w:rFonts w:hint="eastAsia"/>
                <w:b/>
                <w:bCs/>
                <w:color w:val="000000" w:themeColor="text1"/>
                <w:sz w:val="21"/>
                <w:szCs w:val="21"/>
                <w14:textFill>
                  <w14:solidFill>
                    <w14:schemeClr w14:val="tx1"/>
                  </w14:solidFill>
                </w14:textFill>
              </w:rPr>
              <w:t>检测密封点数量（个）</w:t>
            </w:r>
            <w:bookmarkEnd w:id="89"/>
          </w:p>
        </w:tc>
        <w:tc>
          <w:tcPr>
            <w:tcW w:w="735"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0" w:name="_Toc19087"/>
            <w:r>
              <w:rPr>
                <w:rFonts w:hint="eastAsia"/>
                <w:b/>
                <w:bCs/>
                <w:color w:val="000000" w:themeColor="text1"/>
                <w:sz w:val="21"/>
                <w:szCs w:val="21"/>
                <w14:textFill>
                  <w14:solidFill>
                    <w14:schemeClr w14:val="tx1"/>
                  </w14:solidFill>
                </w14:textFill>
              </w:rPr>
              <w:t>不可达密封点数量（个）</w:t>
            </w:r>
            <w:bookmarkEnd w:id="90"/>
          </w:p>
        </w:tc>
        <w:tc>
          <w:tcPr>
            <w:tcW w:w="839"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1" w:name="_Toc28184"/>
            <w:r>
              <w:rPr>
                <w:rFonts w:hint="eastAsia"/>
                <w:b/>
                <w:bCs/>
                <w:color w:val="000000" w:themeColor="text1"/>
                <w:sz w:val="21"/>
                <w:szCs w:val="21"/>
                <w14:textFill>
                  <w14:solidFill>
                    <w14:schemeClr w14:val="tx1"/>
                  </w14:solidFill>
                </w14:textFill>
              </w:rPr>
              <w:t>超标泄漏密封点数量（个）</w:t>
            </w:r>
            <w:bookmarkEnd w:id="91"/>
          </w:p>
        </w:tc>
        <w:tc>
          <w:tcPr>
            <w:tcW w:w="769"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bookmarkStart w:id="92" w:name="_Toc6126"/>
            <w:r>
              <w:rPr>
                <w:rFonts w:hint="eastAsia"/>
                <w:b/>
                <w:bCs/>
                <w:color w:val="000000" w:themeColor="text1"/>
                <w:sz w:val="21"/>
                <w:szCs w:val="21"/>
                <w14:textFill>
                  <w14:solidFill>
                    <w14:schemeClr w14:val="tx1"/>
                  </w14:solidFill>
                </w14:textFill>
              </w:rPr>
              <w:t>待检测密封点数量（个）</w:t>
            </w:r>
            <w:bookmarkEnd w:id="92"/>
          </w:p>
        </w:tc>
        <w:tc>
          <w:tcPr>
            <w:tcW w:w="475" w:type="pct"/>
            <w:tcBorders>
              <w:tl2br w:val="nil"/>
              <w:tr2bl w:val="nil"/>
            </w:tcBorders>
            <w:shd w:val="clear" w:color="auto" w:fill="auto"/>
            <w:vAlign w:val="center"/>
          </w:tcPr>
          <w:p>
            <w:pPr>
              <w:pStyle w:val="25"/>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动密封点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PAM水合工序</w:t>
            </w:r>
          </w:p>
        </w:tc>
        <w:tc>
          <w:tcPr>
            <w:tcW w:w="727"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42</w:t>
            </w:r>
          </w:p>
        </w:tc>
        <w:tc>
          <w:tcPr>
            <w:tcW w:w="1419" w:type="dxa"/>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42</w:t>
            </w:r>
          </w:p>
        </w:tc>
        <w:tc>
          <w:tcPr>
            <w:tcW w:w="735"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0</w:t>
            </w:r>
          </w:p>
        </w:tc>
        <w:tc>
          <w:tcPr>
            <w:tcW w:w="839"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69"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bidi="ar-SA"/>
              </w:rPr>
            </w:pPr>
            <w:r>
              <w:rPr>
                <w:rFonts w:hint="eastAsia" w:ascii="宋体" w:hAnsi="宋体" w:eastAsia="宋体" w:cs="宋体"/>
                <w:bCs/>
                <w:color w:val="auto"/>
                <w:sz w:val="21"/>
                <w:szCs w:val="21"/>
                <w:lang w:val="en-US" w:eastAsia="zh-CN"/>
              </w:rPr>
              <w:t>0</w:t>
            </w:r>
          </w:p>
        </w:tc>
        <w:tc>
          <w:tcPr>
            <w:tcW w:w="936" w:type="dxa"/>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pct"/>
            <w:tcBorders>
              <w:tl2br w:val="nil"/>
              <w:tr2bl w:val="nil"/>
            </w:tcBorders>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eastAsia="宋体" w:cs="宋体"/>
                <w:color w:val="auto"/>
                <w:lang w:val="en-US" w:eastAsia="zh-CN"/>
              </w:rPr>
            </w:pPr>
            <w:r>
              <w:rPr>
                <w:rFonts w:hint="eastAsia" w:ascii="宋体" w:hAnsi="宋体" w:cs="宋体"/>
                <w:color w:val="auto"/>
                <w:lang w:val="en-US" w:eastAsia="zh-CN"/>
              </w:rPr>
              <w:t>储运装置</w:t>
            </w:r>
          </w:p>
        </w:tc>
        <w:tc>
          <w:tcPr>
            <w:tcW w:w="727" w:type="pct"/>
            <w:tcBorders>
              <w:tl2br w:val="nil"/>
              <w:tr2bl w:val="nil"/>
            </w:tcBorders>
            <w:vAlign w:val="center"/>
          </w:tcPr>
          <w:p>
            <w:pPr>
              <w:pStyle w:val="25"/>
              <w:ind w:firstLine="0" w:firstLineChars="0"/>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44</w:t>
            </w:r>
          </w:p>
        </w:tc>
        <w:tc>
          <w:tcPr>
            <w:tcW w:w="1419" w:type="dxa"/>
            <w:tcBorders>
              <w:tl2br w:val="nil"/>
              <w:tr2bl w:val="nil"/>
            </w:tcBorders>
            <w:vAlign w:val="center"/>
          </w:tcPr>
          <w:p>
            <w:pPr>
              <w:pStyle w:val="25"/>
              <w:ind w:firstLine="0" w:firstLineChars="0"/>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44</w:t>
            </w:r>
          </w:p>
        </w:tc>
        <w:tc>
          <w:tcPr>
            <w:tcW w:w="735" w:type="pct"/>
            <w:tcBorders>
              <w:tl2br w:val="nil"/>
              <w:tr2bl w:val="nil"/>
            </w:tcBorders>
            <w:vAlign w:val="center"/>
          </w:tcPr>
          <w:p>
            <w:pPr>
              <w:ind w:firstLine="0" w:firstLineChars="0"/>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839" w:type="pct"/>
            <w:tcBorders>
              <w:tl2br w:val="nil"/>
              <w:tr2bl w:val="nil"/>
            </w:tcBorders>
            <w:vAlign w:val="center"/>
          </w:tcPr>
          <w:p>
            <w:pPr>
              <w:ind w:firstLine="0" w:firstLineChars="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769" w:type="pct"/>
            <w:tcBorders>
              <w:tl2br w:val="nil"/>
              <w:tr2bl w:val="nil"/>
            </w:tcBorders>
            <w:vAlign w:val="center"/>
          </w:tcPr>
          <w:p>
            <w:pPr>
              <w:ind w:firstLine="0" w:firstLineChars="0"/>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936" w:type="dxa"/>
            <w:tcBorders>
              <w:tl2br w:val="nil"/>
              <w:tr2bl w:val="nil"/>
            </w:tcBorders>
            <w:vAlign w:val="center"/>
          </w:tcPr>
          <w:p>
            <w:pPr>
              <w:pStyle w:val="25"/>
              <w:ind w:firstLine="0" w:firstLineChars="0"/>
              <w:rPr>
                <w:rFonts w:hint="eastAsia" w:ascii="宋体" w:hAnsi="宋体" w:eastAsia="宋体" w:cs="宋体"/>
                <w:color w:val="auto"/>
                <w:lang w:val="en-US" w:eastAsia="zh-CN"/>
              </w:rPr>
            </w:pPr>
            <w:r>
              <w:rPr>
                <w:rFonts w:hint="eastAsia" w:ascii="宋体" w:hAnsi="宋体" w:cs="宋体"/>
                <w:bCs/>
                <w:color w:val="auto"/>
                <w:sz w:val="21"/>
                <w:szCs w:val="21"/>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731" w:type="pct"/>
            <w:tcBorders>
              <w:tl2br w:val="nil"/>
              <w:tr2bl w:val="nil"/>
            </w:tcBorders>
            <w:vAlign w:val="center"/>
          </w:tcPr>
          <w:p>
            <w:pPr>
              <w:pStyle w:val="25"/>
              <w:ind w:firstLine="0" w:firstLineChars="0"/>
              <w:rPr>
                <w:rFonts w:hint="eastAsia" w:ascii="宋体" w:hAnsi="宋体" w:eastAsia="宋体" w:cs="宋体"/>
                <w:color w:val="auto"/>
                <w:sz w:val="21"/>
                <w:szCs w:val="21"/>
                <w:lang w:val="en-US" w:eastAsia="zh-CN"/>
              </w:rPr>
            </w:pPr>
            <w:r>
              <w:rPr>
                <w:rFonts w:hint="eastAsia"/>
                <w:color w:val="auto"/>
                <w:lang w:val="en-US" w:eastAsia="zh-CN"/>
              </w:rPr>
              <w:t>合计</w:t>
            </w:r>
          </w:p>
        </w:tc>
        <w:tc>
          <w:tcPr>
            <w:tcW w:w="727" w:type="pct"/>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86</w:t>
            </w:r>
          </w:p>
        </w:tc>
        <w:tc>
          <w:tcPr>
            <w:tcW w:w="1419" w:type="dxa"/>
            <w:tcBorders>
              <w:tl2br w:val="nil"/>
              <w:tr2bl w:val="nil"/>
            </w:tcBorders>
            <w:vAlign w:val="center"/>
          </w:tcPr>
          <w:p>
            <w:pPr>
              <w:pStyle w:val="25"/>
              <w:ind w:firstLine="0" w:firstLineChars="0"/>
              <w:rPr>
                <w:rFonts w:hint="eastAsia" w:ascii="宋体" w:hAnsi="宋体" w:eastAsia="宋体" w:cs="宋体"/>
                <w:color w:val="auto"/>
                <w:sz w:val="21"/>
                <w:szCs w:val="21"/>
                <w:lang w:val="en-US" w:eastAsia="zh-CN"/>
              </w:rPr>
            </w:pPr>
            <w:r>
              <w:rPr>
                <w:rFonts w:hint="eastAsia" w:ascii="宋体" w:hAnsi="宋体" w:cs="宋体"/>
                <w:bCs/>
                <w:color w:val="auto"/>
                <w:sz w:val="21"/>
                <w:szCs w:val="21"/>
                <w:lang w:val="en-US" w:eastAsia="zh-CN"/>
              </w:rPr>
              <w:t>86</w:t>
            </w:r>
          </w:p>
        </w:tc>
        <w:tc>
          <w:tcPr>
            <w:tcW w:w="735"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0</w:t>
            </w:r>
          </w:p>
        </w:tc>
        <w:tc>
          <w:tcPr>
            <w:tcW w:w="839" w:type="pct"/>
            <w:tcBorders>
              <w:tl2br w:val="nil"/>
              <w:tr2bl w:val="nil"/>
            </w:tcBorders>
            <w:vAlign w:val="center"/>
          </w:tcPr>
          <w:p>
            <w:pPr>
              <w:ind w:firstLine="0" w:firstLineChars="0"/>
              <w:jc w:val="center"/>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2</w:t>
            </w:r>
          </w:p>
        </w:tc>
        <w:tc>
          <w:tcPr>
            <w:tcW w:w="769" w:type="pct"/>
            <w:tcBorders>
              <w:tl2br w:val="nil"/>
              <w:tr2bl w:val="nil"/>
            </w:tcBorders>
            <w:vAlign w:val="center"/>
          </w:tcPr>
          <w:p>
            <w:pPr>
              <w:ind w:firstLine="0" w:firstLineChars="0"/>
              <w:jc w:val="center"/>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lang w:val="en-US" w:eastAsia="zh-CN"/>
              </w:rPr>
              <w:t>0</w:t>
            </w:r>
          </w:p>
        </w:tc>
        <w:tc>
          <w:tcPr>
            <w:tcW w:w="936" w:type="dxa"/>
            <w:tcBorders>
              <w:tl2br w:val="nil"/>
              <w:tr2bl w:val="nil"/>
            </w:tcBorders>
            <w:vAlign w:val="center"/>
          </w:tcPr>
          <w:p>
            <w:pPr>
              <w:pStyle w:val="25"/>
              <w:ind w:firstLine="0" w:firstLineChars="0"/>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86</w:t>
            </w:r>
          </w:p>
        </w:tc>
      </w:tr>
    </w:tbl>
    <w:p>
      <w:pPr>
        <w:pStyle w:val="4"/>
        <w:numPr>
          <w:ilvl w:val="1"/>
          <w:numId w:val="0"/>
        </w:numPr>
        <w:bidi w:val="0"/>
        <w:ind w:leftChars="0"/>
        <w:rPr>
          <w:rFonts w:hint="eastAsia"/>
          <w:lang w:val="en-US" w:eastAsia="zh-CN"/>
        </w:rPr>
      </w:pPr>
      <w:bookmarkStart w:id="93" w:name="_Toc4572"/>
      <w:bookmarkStart w:id="94" w:name="_Toc27149"/>
      <w:bookmarkStart w:id="95" w:name="_Toc17053"/>
      <w:bookmarkStart w:id="96" w:name="_Toc13495"/>
      <w:bookmarkStart w:id="97" w:name="_Toc22546"/>
      <w:r>
        <w:rPr>
          <w:rFonts w:hint="eastAsia"/>
          <w:lang w:val="en-US" w:eastAsia="zh-CN"/>
        </w:rPr>
        <w:t>4.2</w:t>
      </w:r>
      <w:r>
        <w:rPr>
          <w:rFonts w:hint="eastAsia"/>
        </w:rPr>
        <w:t>泄漏点</w:t>
      </w:r>
      <w:r>
        <w:t>维修</w:t>
      </w:r>
      <w:bookmarkEnd w:id="93"/>
      <w:bookmarkEnd w:id="94"/>
      <w:bookmarkEnd w:id="95"/>
      <w:bookmarkEnd w:id="96"/>
      <w:bookmarkEnd w:id="97"/>
    </w:p>
    <w:p>
      <w:pPr>
        <w:pStyle w:val="4"/>
        <w:numPr>
          <w:ilvl w:val="1"/>
          <w:numId w:val="0"/>
        </w:numPr>
        <w:bidi w:val="0"/>
        <w:ind w:leftChars="0"/>
        <w:rPr>
          <w:rFonts w:hint="eastAsia" w:ascii="宋体" w:hAnsi="宋体" w:eastAsia="宋体" w:cs="宋体"/>
          <w:sz w:val="21"/>
          <w:szCs w:val="21"/>
          <w:lang w:val="en-US" w:eastAsia="zh-CN"/>
        </w:rPr>
      </w:pPr>
      <w:bookmarkStart w:id="98" w:name="_Toc8481"/>
      <w:bookmarkStart w:id="99" w:name="_Toc30668"/>
      <w:bookmarkStart w:id="100" w:name="_Toc18147"/>
      <w:bookmarkStart w:id="101" w:name="_Toc20510"/>
      <w:bookmarkStart w:id="102" w:name="_Toc29307"/>
      <w:r>
        <w:rPr>
          <w:rFonts w:hint="eastAsia"/>
          <w:lang w:val="en-US" w:eastAsia="zh-CN"/>
        </w:rPr>
        <w:t>4.2.1</w:t>
      </w:r>
      <w:r>
        <w:rPr>
          <w:rFonts w:hint="eastAsia"/>
        </w:rPr>
        <w:t>泄漏点</w:t>
      </w:r>
      <w:r>
        <w:t>维修规定</w:t>
      </w:r>
      <w:bookmarkEnd w:id="98"/>
      <w:bookmarkEnd w:id="99"/>
      <w:bookmarkEnd w:id="100"/>
      <w:bookmarkEnd w:id="101"/>
      <w:bookmarkEnd w:id="102"/>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按照《东营市</w:t>
      </w:r>
      <w:r>
        <w:rPr>
          <w:rFonts w:hint="eastAsia" w:ascii="宋体" w:hAnsi="宋体" w:eastAsia="宋体" w:cs="宋体"/>
          <w:sz w:val="21"/>
          <w:szCs w:val="21"/>
          <w:lang w:eastAsia="zh-CN"/>
        </w:rPr>
        <w:t>挥发性有机物检测</w:t>
      </w:r>
      <w:r>
        <w:rPr>
          <w:rFonts w:hint="eastAsia" w:ascii="宋体" w:hAnsi="宋体" w:eastAsia="宋体" w:cs="宋体"/>
          <w:sz w:val="21"/>
          <w:szCs w:val="21"/>
        </w:rPr>
        <w:t>与修复（LDAR）实施技术导则》</w:t>
      </w:r>
      <w:r>
        <w:rPr>
          <w:rFonts w:hint="eastAsia" w:ascii="宋体" w:hAnsi="宋体" w:eastAsia="宋体" w:cs="宋体"/>
          <w:sz w:val="21"/>
          <w:szCs w:val="21"/>
          <w:lang w:val="en-US" w:eastAsia="zh-CN"/>
        </w:rPr>
        <w:t>和</w:t>
      </w:r>
      <w:r>
        <w:rPr>
          <w:rFonts w:hint="eastAsia" w:ascii="宋体" w:hAnsi="宋体" w:eastAsia="宋体" w:cs="宋体"/>
          <w:sz w:val="21"/>
          <w:szCs w:val="21"/>
        </w:rPr>
        <w:t>《石化企业泄漏检测与修复工作指南》规定的方法，密封点符合下列任一条件，即可确认发生泄漏：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1）《石油炼制工业污染物排放标准》 （GB 31570</w:t>
      </w:r>
      <w:r>
        <w:rPr>
          <w:rFonts w:hint="eastAsia" w:ascii="宋体" w:hAnsi="宋体" w:eastAsia="宋体" w:cs="宋体"/>
          <w:sz w:val="21"/>
          <w:szCs w:val="21"/>
          <w:lang w:val="en-US" w:eastAsia="zh-CN"/>
        </w:rPr>
        <w:t>-2015</w:t>
      </w:r>
      <w:r>
        <w:rPr>
          <w:rFonts w:hint="eastAsia" w:ascii="宋体" w:hAnsi="宋体" w:eastAsia="宋体" w:cs="宋体"/>
          <w:sz w:val="21"/>
          <w:szCs w:val="21"/>
        </w:rPr>
        <w:t>）或《石油化学工业污染物排放标准》 （GB 31571</w:t>
      </w:r>
      <w:r>
        <w:rPr>
          <w:rFonts w:hint="eastAsia" w:ascii="宋体" w:hAnsi="宋体" w:eastAsia="宋体" w:cs="宋体"/>
          <w:sz w:val="21"/>
          <w:szCs w:val="21"/>
          <w:lang w:val="en-US" w:eastAsia="zh-CN"/>
        </w:rPr>
        <w:t xml:space="preserve"> -2015</w:t>
      </w:r>
      <w:r>
        <w:rPr>
          <w:rFonts w:hint="eastAsia" w:ascii="宋体" w:hAnsi="宋体" w:eastAsia="宋体" w:cs="宋体"/>
          <w:sz w:val="21"/>
          <w:szCs w:val="21"/>
        </w:rPr>
        <w:t>）中 5.3.4 规定的泄漏确认条件；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2）企业所在地地方标准规定的泄漏确认条件</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本次 LDAR 项目执行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东营市挥发性有机物检测与修复（LDAR）实施技术导则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章节—设备与管线组件泄漏污染控制要求</w:t>
      </w:r>
      <w:r>
        <w:rPr>
          <w:rFonts w:hint="eastAsia" w:ascii="宋体" w:hAnsi="宋体" w:eastAsia="宋体" w:cs="宋体"/>
          <w:sz w:val="21"/>
          <w:szCs w:val="21"/>
        </w:rPr>
        <w:t>。要求中规定：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出现以下情况，则认定发生了泄漏：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有机气体和挥发性有机液体流经的设备与管线组件，采用</w:t>
      </w:r>
      <w:r>
        <w:rPr>
          <w:rFonts w:hint="eastAsia" w:ascii="宋体" w:hAnsi="宋体" w:eastAsia="宋体" w:cs="宋体"/>
          <w:sz w:val="21"/>
          <w:szCs w:val="21"/>
          <w:lang w:eastAsia="zh-CN"/>
        </w:rPr>
        <w:t>挥发性有机气体分析仪</w:t>
      </w:r>
      <w:r>
        <w:rPr>
          <w:rFonts w:hint="eastAsia" w:ascii="宋体" w:hAnsi="宋体" w:eastAsia="宋体" w:cs="宋体"/>
          <w:sz w:val="21"/>
          <w:szCs w:val="21"/>
        </w:rPr>
        <w:t xml:space="preserve">（以甲烷或丙烷为校正气体），泄漏检测值大于等于 </w:t>
      </w:r>
      <w:r>
        <w:rPr>
          <w:rFonts w:hint="eastAsia" w:ascii="宋体" w:hAnsi="宋体" w:eastAsia="宋体" w:cs="宋体"/>
          <w:sz w:val="21"/>
          <w:szCs w:val="21"/>
          <w:lang w:val="en-US" w:eastAsia="zh-CN"/>
        </w:rPr>
        <w:t>5</w:t>
      </w:r>
      <w:r>
        <w:rPr>
          <w:rFonts w:hint="eastAsia" w:ascii="宋体" w:hAnsi="宋体" w:eastAsia="宋体" w:cs="宋体"/>
          <w:sz w:val="21"/>
          <w:szCs w:val="21"/>
        </w:rPr>
        <w:t>00μmol/mol。</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Cs w:val="21"/>
        </w:rPr>
      </w:pPr>
      <w:r>
        <w:rPr>
          <w:rFonts w:hint="eastAsia" w:ascii="宋体" w:hAnsi="宋体" w:eastAsia="宋体" w:cs="宋体"/>
          <w:sz w:val="21"/>
          <w:szCs w:val="21"/>
        </w:rPr>
        <w:t>2) 其他挥发性有机物流经的设备与管线组件，采用</w:t>
      </w:r>
      <w:r>
        <w:rPr>
          <w:rFonts w:hint="eastAsia" w:ascii="宋体" w:hAnsi="宋体" w:eastAsia="宋体" w:cs="宋体"/>
          <w:sz w:val="21"/>
          <w:szCs w:val="21"/>
          <w:lang w:eastAsia="zh-CN"/>
        </w:rPr>
        <w:t>挥发性有机气体分析仪</w:t>
      </w:r>
      <w:r>
        <w:rPr>
          <w:rFonts w:hint="eastAsia" w:ascii="宋体" w:hAnsi="宋体" w:eastAsia="宋体" w:cs="宋体"/>
          <w:sz w:val="21"/>
          <w:szCs w:val="21"/>
        </w:rPr>
        <w:t>（以甲烷或丙烷为校正气</w:t>
      </w:r>
      <w:r>
        <w:rPr>
          <w:rFonts w:hint="eastAsia" w:asciiTheme="minorEastAsia" w:hAnsiTheme="minorEastAsia" w:eastAsiaTheme="minorEastAsia" w:cstheme="minorEastAsia"/>
          <w:sz w:val="21"/>
          <w:szCs w:val="21"/>
        </w:rPr>
        <w:t xml:space="preserve">体），泄漏检测值大于等于 </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00μmol/mol。</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泄漏认定</w:t>
      </w:r>
    </w:p>
    <w:tbl>
      <w:tblPr>
        <w:tblStyle w:val="12"/>
        <w:tblW w:w="9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3"/>
        <w:gridCol w:w="3118"/>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泄漏认定</w:t>
            </w:r>
          </w:p>
        </w:tc>
        <w:tc>
          <w:tcPr>
            <w:tcW w:w="31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常规检测（</w:t>
            </w:r>
            <w:r>
              <w:rPr>
                <w:rFonts w:hint="eastAsia" w:asciiTheme="minorEastAsia" w:hAnsiTheme="minorEastAsia" w:eastAsiaTheme="minorEastAsia" w:cstheme="minorEastAsia"/>
                <w:b/>
                <w:bCs/>
                <w:color w:val="000000"/>
                <w:sz w:val="21"/>
                <w:szCs w:val="21"/>
              </w:rPr>
              <w:t>μmol/mol</w:t>
            </w:r>
            <w:r>
              <w:rPr>
                <w:rFonts w:hint="eastAsia" w:asciiTheme="minorEastAsia" w:hAnsiTheme="minorEastAsia" w:eastAsiaTheme="minorEastAsia" w:cstheme="minorEastAsia"/>
                <w:b/>
                <w:bCs/>
                <w:sz w:val="21"/>
                <w:szCs w:val="21"/>
              </w:rPr>
              <w:t>）</w:t>
            </w:r>
          </w:p>
        </w:tc>
        <w:tc>
          <w:tcPr>
            <w:tcW w:w="11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有机气体和挥发性有机液体流经的设备和管线组件</w:t>
            </w:r>
          </w:p>
        </w:tc>
        <w:tc>
          <w:tcPr>
            <w:tcW w:w="31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sz w:val="21"/>
                <w:szCs w:val="21"/>
              </w:rPr>
              <w:t xml:space="preserve">泄漏检测值大于等于 </w:t>
            </w:r>
            <w:r>
              <w:rPr>
                <w:rFonts w:hint="eastAsia" w:asciiTheme="minorEastAsia" w:hAnsiTheme="minorEastAsia" w:cstheme="minorEastAsia"/>
                <w:sz w:val="21"/>
                <w:szCs w:val="21"/>
                <w:lang w:val="en-US" w:eastAsia="zh-CN"/>
              </w:rPr>
              <w:t>500</w:t>
            </w:r>
          </w:p>
        </w:tc>
        <w:tc>
          <w:tcPr>
            <w:tcW w:w="11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83"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其他挥发性有机液体流经的设备和管线组件</w:t>
            </w:r>
          </w:p>
        </w:tc>
        <w:tc>
          <w:tcPr>
            <w:tcW w:w="311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 xml:space="preserve">泄漏检测值大于等于 </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00</w:t>
            </w:r>
          </w:p>
        </w:tc>
        <w:tc>
          <w:tcPr>
            <w:tcW w:w="11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eastAsia="宋体"/>
          <w:lang w:val="en-US" w:eastAsia="zh-CN"/>
        </w:rPr>
      </w:pPr>
      <w:bookmarkStart w:id="103" w:name="_Toc6613"/>
      <w:r>
        <w:rPr>
          <w:rFonts w:hint="eastAsia" w:eastAsia="宋体"/>
          <w:lang w:val="en-US" w:eastAsia="zh-CN"/>
        </w:rPr>
        <w:t>4.3排放量、泄漏量统计</w:t>
      </w:r>
      <w:bookmarkEnd w:id="10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sz w:val="21"/>
          <w:szCs w:val="21"/>
        </w:rPr>
      </w:pPr>
      <w:r>
        <w:rPr>
          <w:rFonts w:hint="eastAsia" w:asciiTheme="minorEastAsia" w:hAnsi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宋体" w:hAnsi="宋体" w:eastAsia="宋体" w:cs="宋体"/>
          <w:b/>
          <w:bCs/>
          <w:sz w:val="21"/>
          <w:szCs w:val="21"/>
        </w:rPr>
      </w:pPr>
      <w:r>
        <w:rPr>
          <w:rFonts w:hint="eastAsia" w:ascii="宋体" w:hAnsi="宋体" w:eastAsia="宋体" w:cs="宋体"/>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129"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的点，以净检测值 10000</w:t>
      </w:r>
      <w:r>
        <w:rPr>
          <w:rFonts w:hint="eastAsia" w:ascii="宋体" w:hAnsi="宋体" w:eastAsia="宋体" w:cs="宋体"/>
          <w:color w:val="000000"/>
          <w:sz w:val="21"/>
          <w:szCs w:val="21"/>
        </w:rPr>
        <w:t>μmol/mol</w:t>
      </w:r>
      <w:r>
        <w:rPr>
          <w:rFonts w:hint="eastAsia" w:ascii="宋体" w:hAnsi="宋体" w:eastAsia="宋体" w:cs="宋体"/>
          <w:sz w:val="21"/>
          <w:szCs w:val="21"/>
        </w:rPr>
        <w:t>为界，分析已检测法兰或连接件净检测值可能≥10000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的数量比例，将该比例应用到同一装置的不可达法兰或连接件，且按比例计算的大于等10000</w:t>
      </w:r>
      <w:r>
        <w:rPr>
          <w:rFonts w:hint="eastAsia" w:ascii="宋体" w:hAnsi="宋体" w:eastAsia="宋体" w:cs="宋体"/>
          <w:color w:val="000000"/>
          <w:sz w:val="21"/>
          <w:szCs w:val="21"/>
        </w:rPr>
        <w:t>μmol/mol</w:t>
      </w:r>
      <w:r>
        <w:rPr>
          <w:rFonts w:hint="eastAsia" w:ascii="宋体" w:hAnsi="宋体" w:eastAsia="宋体" w:cs="宋体"/>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宋体" w:hAnsi="宋体" w:eastAsia="宋体" w:cs="宋体"/>
          <w:sz w:val="21"/>
          <w:szCs w:val="21"/>
        </w:rPr>
      </w:pPr>
      <w:r>
        <w:rPr>
          <w:rFonts w:hint="eastAsia" w:ascii="宋体" w:hAnsi="宋体" w:eastAsia="宋体" w:cs="宋体"/>
          <w:sz w:val="21"/>
          <w:szCs w:val="21"/>
        </w:rPr>
        <w:t>各个密封点的检测时间和检测周期不同，计算的排放量、泄漏量略有不同。</w:t>
      </w: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921"/>
        <w:gridCol w:w="1820"/>
        <w:gridCol w:w="2401"/>
        <w:gridCol w:w="2654"/>
        <w:gridCol w:w="18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序号</w:t>
            </w:r>
          </w:p>
        </w:tc>
        <w:tc>
          <w:tcPr>
            <w:tcW w:w="942"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装置名称</w:t>
            </w:r>
          </w:p>
        </w:tc>
        <w:tc>
          <w:tcPr>
            <w:tcW w:w="1243"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复检前季度估算排放量(kg/季度）</w:t>
            </w:r>
          </w:p>
        </w:tc>
        <w:tc>
          <w:tcPr>
            <w:tcW w:w="137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复检后季度估算排放量(kg/季度）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季度估算减排量(kg/季度）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1</w:t>
            </w:r>
          </w:p>
        </w:tc>
        <w:tc>
          <w:tcPr>
            <w:tcW w:w="1820"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PAM水合工序</w:t>
            </w:r>
          </w:p>
        </w:tc>
        <w:tc>
          <w:tcPr>
            <w:tcW w:w="2401"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3.44 </w:t>
            </w:r>
          </w:p>
        </w:tc>
        <w:tc>
          <w:tcPr>
            <w:tcW w:w="2654"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2.93 </w:t>
            </w:r>
          </w:p>
        </w:tc>
        <w:tc>
          <w:tcPr>
            <w:tcW w:w="1857"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 xml:space="preserve">0.51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2</w:t>
            </w:r>
          </w:p>
        </w:tc>
        <w:tc>
          <w:tcPr>
            <w:tcW w:w="1820"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储运装置</w:t>
            </w:r>
          </w:p>
        </w:tc>
        <w:tc>
          <w:tcPr>
            <w:tcW w:w="2401"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3.91 </w:t>
            </w:r>
          </w:p>
        </w:tc>
        <w:tc>
          <w:tcPr>
            <w:tcW w:w="2654"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3.37 </w:t>
            </w:r>
          </w:p>
        </w:tc>
        <w:tc>
          <w:tcPr>
            <w:tcW w:w="1857"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0.54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jc w:val="center"/>
        </w:trPr>
        <w:tc>
          <w:tcPr>
            <w:tcW w:w="477" w:type="pct"/>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3</w:t>
            </w:r>
          </w:p>
        </w:tc>
        <w:tc>
          <w:tcPr>
            <w:tcW w:w="1820"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合计</w:t>
            </w:r>
          </w:p>
        </w:tc>
        <w:tc>
          <w:tcPr>
            <w:tcW w:w="2401"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7.35 </w:t>
            </w:r>
          </w:p>
        </w:tc>
        <w:tc>
          <w:tcPr>
            <w:tcW w:w="2654"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6.30 </w:t>
            </w:r>
          </w:p>
        </w:tc>
        <w:tc>
          <w:tcPr>
            <w:tcW w:w="1857" w:type="dxa"/>
            <w:tcBorders>
              <w:tl2br w:val="nil"/>
              <w:tr2bl w:val="nil"/>
            </w:tcBorders>
            <w:shd w:val="clear" w:color="auto" w:fill="auto"/>
            <w:tcMar>
              <w:top w:w="15" w:type="dxa"/>
              <w:left w:w="15" w:type="dxa"/>
              <w:right w:w="15" w:type="dxa"/>
            </w:tcMar>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default" w:ascii="宋体" w:hAnsi="宋体" w:cs="宋体"/>
                <w:color w:val="auto"/>
                <w:lang w:val="en-US" w:eastAsia="zh-CN"/>
              </w:rPr>
            </w:pPr>
            <w:r>
              <w:rPr>
                <w:rFonts w:hint="eastAsia" w:ascii="宋体" w:hAnsi="宋体" w:cs="宋体"/>
                <w:color w:val="auto"/>
                <w:lang w:val="en-US" w:eastAsia="zh-CN"/>
              </w:rPr>
              <w:t xml:space="preserve">1.05 </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注：密封点检测数值大于等于0</w:t>
      </w:r>
      <w:r>
        <w:rPr>
          <w:rFonts w:hint="eastAsia" w:ascii="宋体" w:hAnsi="宋体" w:eastAsia="宋体" w:cs="宋体"/>
          <w:color w:val="000000"/>
          <w:sz w:val="21"/>
          <w:szCs w:val="21"/>
        </w:rPr>
        <w:t>μmol/mol</w:t>
      </w:r>
      <w:r>
        <w:rPr>
          <w:rFonts w:hint="eastAsia" w:ascii="宋体" w:hAnsi="宋体" w:eastAsia="宋体" w:cs="宋体"/>
          <w:sz w:val="21"/>
          <w:szCs w:val="21"/>
          <w:lang w:bidi="en-US"/>
        </w:rPr>
        <w:t>。</w:t>
      </w:r>
    </w:p>
    <w:tbl>
      <w:tblPr>
        <w:tblStyle w:val="12"/>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0"/>
        <w:gridCol w:w="2450"/>
        <w:gridCol w:w="1819"/>
        <w:gridCol w:w="1949"/>
        <w:gridCol w:w="166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46"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密封点类型</w:t>
            </w:r>
          </w:p>
        </w:tc>
        <w:tc>
          <w:tcPr>
            <w:tcW w:w="925"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复检前排放量(kg</w:t>
            </w:r>
            <w:r>
              <w:rPr>
                <w:rFonts w:hint="eastAsia" w:ascii="宋体" w:hAnsi="宋体" w:eastAsia="宋体" w:cs="宋体"/>
                <w:b/>
                <w:bCs/>
                <w:sz w:val="21"/>
                <w:szCs w:val="21"/>
                <w:lang w:val="en-US" w:eastAsia="zh-CN"/>
              </w:rPr>
              <w:t>/季度</w:t>
            </w:r>
            <w:r>
              <w:rPr>
                <w:rFonts w:hint="eastAsia" w:ascii="宋体" w:hAnsi="宋体" w:eastAsia="宋体" w:cs="宋体"/>
                <w:b/>
                <w:bCs/>
                <w:sz w:val="21"/>
                <w:szCs w:val="21"/>
              </w:rPr>
              <w:t>）</w:t>
            </w:r>
          </w:p>
        </w:tc>
        <w:tc>
          <w:tcPr>
            <w:tcW w:w="991"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复检后排放量(kg</w:t>
            </w:r>
            <w:r>
              <w:rPr>
                <w:rFonts w:hint="eastAsia" w:ascii="宋体" w:hAnsi="宋体" w:eastAsia="宋体" w:cs="宋体"/>
                <w:b/>
                <w:bCs/>
                <w:sz w:val="21"/>
                <w:szCs w:val="21"/>
                <w:lang w:val="en-US" w:eastAsia="zh-CN"/>
              </w:rPr>
              <w:t>/季度</w:t>
            </w:r>
            <w:r>
              <w:rPr>
                <w:rFonts w:hint="eastAsia" w:ascii="宋体" w:hAnsi="宋体" w:eastAsia="宋体" w:cs="宋体"/>
                <w:b/>
                <w:bCs/>
                <w:sz w:val="21"/>
                <w:szCs w:val="21"/>
              </w:rPr>
              <w:t>）</w:t>
            </w:r>
          </w:p>
        </w:tc>
        <w:tc>
          <w:tcPr>
            <w:tcW w:w="846" w:type="pct"/>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估算减排量(kg</w:t>
            </w:r>
            <w:r>
              <w:rPr>
                <w:rFonts w:hint="eastAsia" w:ascii="宋体" w:hAnsi="宋体" w:eastAsia="宋体" w:cs="宋体"/>
                <w:b/>
                <w:bCs/>
                <w:sz w:val="21"/>
                <w:szCs w:val="21"/>
                <w:lang w:val="en-US" w:eastAsia="zh-CN"/>
              </w:rPr>
              <w:t>/季度</w:t>
            </w:r>
            <w:r>
              <w:rPr>
                <w:rFonts w:hint="eastAsia" w:ascii="宋体" w:hAnsi="宋体" w:eastAsia="宋体" w:cs="宋体"/>
                <w:b/>
                <w:bCs/>
                <w:sz w:val="21"/>
                <w:szCs w:val="21"/>
              </w:rPr>
              <w:t>）</w:t>
            </w:r>
          </w:p>
        </w:tc>
        <w:tc>
          <w:tcPr>
            <w:tcW w:w="486" w:type="pct"/>
            <w:tcBorders>
              <w:top w:val="single" w:color="auto" w:sz="12" w:space="0"/>
              <w:left w:val="single" w:color="auto" w:sz="4" w:space="0"/>
              <w:bottom w:val="single" w:color="auto" w:sz="4" w:space="0"/>
              <w:right w:val="single" w:color="auto" w:sz="12"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泵</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0.47 </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0.47 </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阀门</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5.54 </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5.54 </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搅拌器</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0.14 </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0.14 </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开口阀或开口管线</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1.20 </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0.15 </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1.05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泄压设备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504" w:type="pct"/>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2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压缩机</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0.00 </w:t>
            </w:r>
          </w:p>
        </w:tc>
        <w:tc>
          <w:tcPr>
            <w:tcW w:w="486"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0" w:type="pct"/>
            <w:gridSpan w:val="2"/>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合计</w:t>
            </w:r>
          </w:p>
        </w:tc>
        <w:tc>
          <w:tcPr>
            <w:tcW w:w="1819"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7.35 </w:t>
            </w:r>
          </w:p>
        </w:tc>
        <w:tc>
          <w:tcPr>
            <w:tcW w:w="1949"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6.30 </w:t>
            </w:r>
          </w:p>
        </w:tc>
        <w:tc>
          <w:tcPr>
            <w:tcW w:w="1664"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25"/>
              <w:keepNext w:val="0"/>
              <w:keepLines w:val="0"/>
              <w:suppressLineNumbers w:val="0"/>
              <w:bidi w:val="0"/>
              <w:spacing w:before="0" w:beforeAutospacing="0" w:after="0" w:afterAutospacing="0"/>
              <w:ind w:left="0" w:leftChars="0" w:right="0" w:rightChars="0" w:firstLine="0" w:firstLineChars="0"/>
              <w:jc w:val="center"/>
              <w:rPr>
                <w:rFonts w:hint="eastAsia" w:ascii="宋体" w:hAnsi="宋体" w:cs="宋体"/>
                <w:color w:val="auto"/>
                <w:lang w:val="en-US" w:eastAsia="zh-CN"/>
              </w:rPr>
            </w:pPr>
            <w:r>
              <w:rPr>
                <w:rFonts w:hint="eastAsia" w:ascii="宋体" w:hAnsi="宋体" w:cs="宋体"/>
                <w:color w:val="auto"/>
                <w:lang w:val="en-US" w:eastAsia="zh-CN"/>
              </w:rPr>
              <w:t xml:space="preserve">1.05 </w:t>
            </w:r>
          </w:p>
        </w:tc>
        <w:tc>
          <w:tcPr>
            <w:tcW w:w="486" w:type="pct"/>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4"/>
        <w:numPr>
          <w:ilvl w:val="1"/>
          <w:numId w:val="0"/>
        </w:numPr>
        <w:bidi w:val="0"/>
        <w:ind w:leftChars="0"/>
        <w:rPr>
          <w:rFonts w:hint="eastAsia"/>
          <w:lang w:val="en-US" w:eastAsia="zh-CN"/>
        </w:rPr>
      </w:pPr>
      <w:bookmarkStart w:id="104" w:name="_Toc30082"/>
      <w:r>
        <w:rPr>
          <w:rFonts w:hint="eastAsia"/>
          <w:lang w:val="en-US" w:eastAsia="zh-CN"/>
        </w:rPr>
        <w:t>4.4开展 LDAR 环境效益分析，实施 LDAR 后的效益</w:t>
      </w:r>
      <w:bookmarkEnd w:id="104"/>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ascii="宋体" w:hAnsi="宋体"/>
          <w:sz w:val="21"/>
          <w:szCs w:val="21"/>
          <w:lang w:bidi="en-US"/>
        </w:rPr>
      </w:pPr>
      <w:r>
        <w:rPr>
          <w:rFonts w:hint="eastAsia" w:ascii="宋体" w:hAnsi="宋体"/>
          <w:sz w:val="21"/>
          <w:szCs w:val="21"/>
          <w:lang w:bidi="en-US"/>
        </w:rPr>
        <w:t>LDAR检测的</w:t>
      </w:r>
      <w:r>
        <w:rPr>
          <w:rFonts w:ascii="宋体" w:hAnsi="宋体"/>
          <w:sz w:val="21"/>
          <w:szCs w:val="21"/>
          <w:lang w:bidi="en-US"/>
        </w:rPr>
        <w:t>环境效益可以</w:t>
      </w:r>
      <w:r>
        <w:rPr>
          <w:rFonts w:hint="eastAsia" w:ascii="宋体" w:hAnsi="宋体"/>
          <w:sz w:val="21"/>
          <w:szCs w:val="21"/>
          <w:lang w:bidi="en-US"/>
        </w:rPr>
        <w:t>从减少区域环境特征污染物和</w:t>
      </w:r>
      <w:r>
        <w:rPr>
          <w:rFonts w:ascii="宋体" w:hAnsi="宋体"/>
          <w:sz w:val="21"/>
          <w:szCs w:val="21"/>
          <w:lang w:bidi="en-US"/>
        </w:rPr>
        <w:t>减少企业</w:t>
      </w:r>
      <w:r>
        <w:rPr>
          <w:rFonts w:hint="eastAsia" w:ascii="宋体" w:hAnsi="宋体"/>
          <w:sz w:val="21"/>
          <w:szCs w:val="21"/>
          <w:lang w:bidi="en-US"/>
        </w:rPr>
        <w:t>物料</w:t>
      </w:r>
      <w:r>
        <w:rPr>
          <w:rFonts w:ascii="宋体" w:hAnsi="宋体"/>
          <w:sz w:val="21"/>
          <w:szCs w:val="21"/>
          <w:lang w:bidi="en-US"/>
        </w:rPr>
        <w:t>损耗</w:t>
      </w:r>
      <w:r>
        <w:rPr>
          <w:rFonts w:hint="eastAsia" w:ascii="宋体" w:hAnsi="宋体"/>
          <w:sz w:val="21"/>
          <w:szCs w:val="21"/>
          <w:lang w:bidi="en-US"/>
        </w:rPr>
        <w:t>两方面分析该工作的环境效益和经济效益。</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发现安全</w:t>
      </w:r>
      <w:r>
        <w:rPr>
          <w:rFonts w:hint="eastAsia" w:ascii="宋体" w:hAnsi="宋体"/>
          <w:sz w:val="21"/>
          <w:szCs w:val="21"/>
          <w:lang w:bidi="en-US"/>
        </w:rPr>
        <w:t>隐患</w:t>
      </w:r>
      <w:r>
        <w:rPr>
          <w:rFonts w:ascii="宋体" w:hAnsi="宋体"/>
          <w:sz w:val="21"/>
          <w:szCs w:val="21"/>
          <w:lang w:bidi="en-US"/>
        </w:rPr>
        <w:t>，</w:t>
      </w:r>
      <w:r>
        <w:rPr>
          <w:rFonts w:hint="eastAsia" w:ascii="宋体" w:hAnsi="宋体"/>
          <w:sz w:val="21"/>
          <w:szCs w:val="21"/>
          <w:lang w:bidi="en-US"/>
        </w:rPr>
        <w:t>提高</w:t>
      </w:r>
      <w:r>
        <w:rPr>
          <w:rFonts w:ascii="宋体" w:hAnsi="宋体"/>
          <w:sz w:val="21"/>
          <w:szCs w:val="21"/>
          <w:lang w:bidi="en-US"/>
        </w:rPr>
        <w:t>工艺安全性和可靠性</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提前</w:t>
      </w:r>
      <w:r>
        <w:rPr>
          <w:rFonts w:ascii="宋体" w:hAnsi="宋体"/>
          <w:sz w:val="21"/>
          <w:szCs w:val="21"/>
          <w:lang w:bidi="en-US"/>
        </w:rPr>
        <w:t>发现设备泄漏，降低维修成本</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w:t>
      </w:r>
      <w:r>
        <w:rPr>
          <w:rFonts w:ascii="宋体" w:hAnsi="宋体"/>
          <w:sz w:val="21"/>
          <w:szCs w:val="21"/>
          <w:lang w:bidi="en-US"/>
        </w:rPr>
        <w:t>人群暴露在</w:t>
      </w:r>
      <w:r>
        <w:rPr>
          <w:rFonts w:hint="eastAsia" w:ascii="宋体" w:hAnsi="宋体"/>
          <w:sz w:val="21"/>
          <w:szCs w:val="21"/>
          <w:lang w:bidi="en-US"/>
        </w:rPr>
        <w:t>有害</w:t>
      </w:r>
      <w:r>
        <w:rPr>
          <w:rFonts w:ascii="宋体" w:hAnsi="宋体"/>
          <w:sz w:val="21"/>
          <w:szCs w:val="21"/>
          <w:lang w:bidi="en-US"/>
        </w:rPr>
        <w:t>化学品中的风险</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减少空气</w:t>
      </w:r>
      <w:r>
        <w:rPr>
          <w:rFonts w:ascii="宋体" w:hAnsi="宋体"/>
          <w:sz w:val="21"/>
          <w:szCs w:val="21"/>
          <w:lang w:bidi="en-US"/>
        </w:rPr>
        <w:t>污染，</w:t>
      </w:r>
      <w:r>
        <w:rPr>
          <w:rFonts w:hint="eastAsia" w:ascii="宋体" w:hAnsi="宋体"/>
          <w:sz w:val="21"/>
          <w:szCs w:val="21"/>
          <w:lang w:bidi="en-US"/>
        </w:rPr>
        <w:t>削减VOC</w:t>
      </w:r>
      <w:r>
        <w:rPr>
          <w:rFonts w:ascii="宋体" w:hAnsi="宋体"/>
          <w:sz w:val="21"/>
          <w:szCs w:val="21"/>
          <w:lang w:bidi="en-US"/>
        </w:rPr>
        <w:t>s无组织排放</w:t>
      </w:r>
    </w:p>
    <w:p>
      <w:pPr>
        <w:keepNext w:val="0"/>
        <w:keepLines w:val="0"/>
        <w:pageBreakBefore w:val="0"/>
        <w:widowControl w:val="0"/>
        <w:numPr>
          <w:ilvl w:val="3"/>
          <w:numId w:val="4"/>
        </w:numPr>
        <w:kinsoku/>
        <w:wordWrap/>
        <w:overflowPunct/>
        <w:topLinePunct w:val="0"/>
        <w:autoSpaceDE/>
        <w:autoSpaceDN/>
        <w:bidi w:val="0"/>
        <w:adjustRightInd/>
        <w:snapToGrid/>
        <w:spacing w:line="400" w:lineRule="exact"/>
        <w:ind w:left="851"/>
        <w:textAlignment w:val="auto"/>
        <w:rPr>
          <w:rFonts w:ascii="宋体" w:hAnsi="宋体"/>
          <w:sz w:val="21"/>
          <w:szCs w:val="21"/>
          <w:lang w:bidi="en-US"/>
        </w:rPr>
      </w:pPr>
      <w:r>
        <w:rPr>
          <w:rFonts w:hint="eastAsia" w:ascii="宋体" w:hAnsi="宋体"/>
          <w:sz w:val="21"/>
          <w:szCs w:val="21"/>
          <w:lang w:bidi="en-US"/>
        </w:rPr>
        <w:t>降低原料</w:t>
      </w:r>
      <w:r>
        <w:rPr>
          <w:rFonts w:ascii="宋体" w:hAnsi="宋体"/>
          <w:sz w:val="21"/>
          <w:szCs w:val="21"/>
          <w:lang w:bidi="en-US"/>
        </w:rPr>
        <w:t>损耗</w:t>
      </w:r>
      <w:r>
        <w:rPr>
          <w:rFonts w:hint="eastAsia" w:ascii="宋体" w:hAnsi="宋体"/>
          <w:sz w:val="21"/>
          <w:szCs w:val="21"/>
          <w:lang w:bidi="en-US"/>
        </w:rPr>
        <w:t>，</w:t>
      </w:r>
      <w:r>
        <w:rPr>
          <w:rFonts w:ascii="宋体" w:hAnsi="宋体"/>
          <w:sz w:val="21"/>
          <w:szCs w:val="21"/>
          <w:lang w:bidi="en-US"/>
        </w:rPr>
        <w:t>提高产品收率，获得更</w:t>
      </w:r>
      <w:r>
        <w:rPr>
          <w:rFonts w:hint="eastAsia" w:ascii="宋体" w:hAnsi="宋体"/>
          <w:sz w:val="21"/>
          <w:szCs w:val="21"/>
          <w:lang w:bidi="en-US"/>
        </w:rPr>
        <w:t>多</w:t>
      </w:r>
      <w:r>
        <w:rPr>
          <w:rFonts w:ascii="宋体" w:hAnsi="宋体"/>
          <w:sz w:val="21"/>
          <w:szCs w:val="21"/>
          <w:lang w:bidi="en-US"/>
        </w:rPr>
        <w:t>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sz w:val="21"/>
          <w:szCs w:val="21"/>
          <w:lang w:eastAsia="zh-CN"/>
        </w:rPr>
        <w:sectPr>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r>
        <w:rPr>
          <w:rFonts w:hint="eastAsia" w:ascii="宋体" w:hAnsi="宋体"/>
          <w:sz w:val="21"/>
          <w:szCs w:val="21"/>
          <w:lang w:bidi="en-US"/>
        </w:rPr>
        <w:t>LDAR检测</w:t>
      </w:r>
      <w:r>
        <w:rPr>
          <w:rFonts w:ascii="宋体" w:hAnsi="宋体"/>
          <w:sz w:val="21"/>
          <w:szCs w:val="21"/>
          <w:lang w:bidi="en-US"/>
        </w:rPr>
        <w:t>工作可以</w:t>
      </w:r>
      <w:r>
        <w:rPr>
          <w:rFonts w:hint="eastAsia" w:ascii="宋体" w:hAnsi="宋体"/>
          <w:sz w:val="21"/>
          <w:szCs w:val="21"/>
          <w:lang w:bidi="en-US"/>
        </w:rPr>
        <w:t>逐步减少</w:t>
      </w:r>
      <w:r>
        <w:rPr>
          <w:rFonts w:ascii="宋体" w:hAnsi="宋体"/>
          <w:sz w:val="21"/>
          <w:szCs w:val="21"/>
          <w:lang w:bidi="en-US"/>
        </w:rPr>
        <w:t>设备泄漏点，</w:t>
      </w:r>
      <w:r>
        <w:rPr>
          <w:rFonts w:hint="eastAsia" w:ascii="宋体" w:hAnsi="宋体"/>
          <w:sz w:val="21"/>
          <w:szCs w:val="21"/>
          <w:lang w:bidi="en-US"/>
        </w:rPr>
        <w:t>控制</w:t>
      </w:r>
      <w:r>
        <w:rPr>
          <w:rFonts w:ascii="宋体" w:hAnsi="宋体"/>
          <w:sz w:val="21"/>
          <w:szCs w:val="21"/>
          <w:lang w:bidi="en-US"/>
        </w:rPr>
        <w:t>无组织排放</w:t>
      </w:r>
      <w:r>
        <w:rPr>
          <w:rFonts w:hint="eastAsia" w:ascii="宋体" w:hAnsi="宋体"/>
          <w:sz w:val="21"/>
          <w:szCs w:val="21"/>
          <w:lang w:bidi="en-US"/>
        </w:rPr>
        <w:t>，</w:t>
      </w:r>
      <w:r>
        <w:rPr>
          <w:rFonts w:ascii="宋体" w:hAnsi="宋体"/>
          <w:sz w:val="21"/>
          <w:szCs w:val="21"/>
          <w:lang w:bidi="en-US"/>
        </w:rPr>
        <w:t>给</w:t>
      </w:r>
      <w:r>
        <w:rPr>
          <w:rFonts w:hint="eastAsia" w:ascii="宋体" w:hAnsi="宋体"/>
          <w:sz w:val="21"/>
          <w:szCs w:val="21"/>
          <w:lang w:bidi="en-US"/>
        </w:rPr>
        <w:t>化工</w:t>
      </w:r>
      <w:r>
        <w:rPr>
          <w:rFonts w:ascii="宋体" w:hAnsi="宋体"/>
          <w:sz w:val="21"/>
          <w:szCs w:val="21"/>
          <w:lang w:bidi="en-US"/>
        </w:rPr>
        <w:t>企业直接或</w:t>
      </w:r>
      <w:r>
        <w:rPr>
          <w:rFonts w:hint="eastAsia" w:ascii="宋体" w:hAnsi="宋体"/>
          <w:sz w:val="21"/>
          <w:szCs w:val="21"/>
          <w:lang w:bidi="en-US"/>
        </w:rPr>
        <w:t>间接</w:t>
      </w:r>
      <w:r>
        <w:rPr>
          <w:rFonts w:ascii="宋体" w:hAnsi="宋体"/>
          <w:sz w:val="21"/>
          <w:szCs w:val="21"/>
          <w:lang w:bidi="en-US"/>
        </w:rPr>
        <w:t>的带来环境效益和经济效益，</w:t>
      </w:r>
      <w:r>
        <w:rPr>
          <w:rFonts w:hint="eastAsia" w:ascii="宋体" w:hAnsi="宋体"/>
          <w:sz w:val="21"/>
          <w:szCs w:val="21"/>
          <w:lang w:bidi="en-US"/>
        </w:rPr>
        <w:t>削减VOC</w:t>
      </w:r>
      <w:r>
        <w:rPr>
          <w:rFonts w:ascii="宋体" w:hAnsi="宋体"/>
          <w:sz w:val="21"/>
          <w:szCs w:val="21"/>
          <w:lang w:bidi="en-US"/>
        </w:rPr>
        <w:t>s无组织排放</w:t>
      </w:r>
      <w:r>
        <w:rPr>
          <w:rFonts w:hint="eastAsia" w:ascii="宋体" w:hAnsi="宋体"/>
          <w:sz w:val="21"/>
          <w:szCs w:val="21"/>
          <w:lang w:bidi="en-US"/>
        </w:rPr>
        <w:t>，</w:t>
      </w:r>
      <w:r>
        <w:rPr>
          <w:rFonts w:ascii="宋体" w:hAnsi="宋体"/>
          <w:sz w:val="21"/>
          <w:szCs w:val="21"/>
          <w:lang w:bidi="en-US"/>
        </w:rPr>
        <w:t>减少物料损耗</w:t>
      </w:r>
      <w:r>
        <w:rPr>
          <w:rFonts w:hint="eastAsia" w:ascii="宋体" w:hAnsi="宋体"/>
          <w:sz w:val="21"/>
          <w:szCs w:val="21"/>
          <w:lang w:bidi="en-US"/>
        </w:rPr>
        <w:t>，</w:t>
      </w:r>
      <w:r>
        <w:rPr>
          <w:rFonts w:ascii="宋体" w:hAnsi="宋体"/>
          <w:sz w:val="21"/>
          <w:szCs w:val="21"/>
          <w:lang w:bidi="en-US"/>
        </w:rPr>
        <w:t>增加经济收益</w:t>
      </w:r>
      <w:r>
        <w:rPr>
          <w:rFonts w:hint="eastAsia" w:ascii="宋体" w:hAnsi="宋体"/>
          <w:sz w:val="21"/>
          <w:szCs w:val="21"/>
          <w:lang w:bidi="en-US"/>
        </w:rPr>
        <w:t>，</w:t>
      </w:r>
      <w:r>
        <w:rPr>
          <w:rFonts w:ascii="宋体" w:hAnsi="宋体"/>
          <w:sz w:val="21"/>
          <w:szCs w:val="21"/>
          <w:lang w:bidi="en-US"/>
        </w:rPr>
        <w:t>减少环境污染，提高</w:t>
      </w:r>
      <w:r>
        <w:rPr>
          <w:rFonts w:hint="eastAsia" w:ascii="宋体" w:hAnsi="宋体"/>
          <w:sz w:val="21"/>
          <w:szCs w:val="21"/>
          <w:lang w:bidi="en-US"/>
        </w:rPr>
        <w:t>大气</w:t>
      </w:r>
      <w:r>
        <w:rPr>
          <w:rFonts w:ascii="宋体" w:hAnsi="宋体"/>
          <w:sz w:val="21"/>
          <w:szCs w:val="21"/>
          <w:lang w:bidi="en-US"/>
        </w:rPr>
        <w:t>环境质量</w:t>
      </w:r>
      <w:r>
        <w:rPr>
          <w:rFonts w:hint="eastAsia" w:ascii="宋体" w:hAnsi="宋体"/>
          <w:sz w:val="21"/>
          <w:szCs w:val="21"/>
          <w:lang w:bidi="en-US"/>
        </w:rPr>
        <w:t>。</w:t>
      </w:r>
    </w:p>
    <w:p>
      <w:pPr>
        <w:pStyle w:val="3"/>
        <w:numPr>
          <w:ilvl w:val="0"/>
          <w:numId w:val="0"/>
        </w:numPr>
        <w:bidi w:val="0"/>
        <w:ind w:leftChars="0"/>
        <w:rPr>
          <w:rFonts w:hint="eastAsia" w:ascii="宋体" w:hAnsi="宋体" w:eastAsia="宋体" w:cs="宋体"/>
          <w:color w:val="auto"/>
          <w:lang w:val="en-US" w:eastAsia="zh-CN"/>
        </w:rPr>
      </w:pPr>
      <w:bookmarkStart w:id="105" w:name="_Toc27060"/>
      <w:bookmarkStart w:id="106" w:name="_Toc23996"/>
      <w:bookmarkStart w:id="107" w:name="_Toc19056"/>
      <w:bookmarkStart w:id="108" w:name="_Toc13433"/>
      <w:bookmarkStart w:id="109" w:name="_Toc3274"/>
      <w:r>
        <w:rPr>
          <w:rFonts w:hint="eastAsia" w:ascii="宋体" w:hAnsi="宋体" w:eastAsia="宋体" w:cs="宋体"/>
          <w:color w:val="auto"/>
          <w:lang w:val="en-US" w:eastAsia="zh-CN"/>
        </w:rPr>
        <w:t>5</w:t>
      </w:r>
      <w:bookmarkEnd w:id="105"/>
      <w:bookmarkEnd w:id="106"/>
      <w:bookmarkEnd w:id="107"/>
      <w:bookmarkEnd w:id="108"/>
      <w:r>
        <w:rPr>
          <w:rFonts w:hint="eastAsia" w:ascii="宋体" w:hAnsi="宋体" w:eastAsia="宋体" w:cs="宋体"/>
          <w:color w:val="auto"/>
          <w:lang w:val="en-US" w:eastAsia="zh-CN"/>
        </w:rPr>
        <w:t>.持续LDAR</w:t>
      </w:r>
      <w:bookmarkEnd w:id="109"/>
    </w:p>
    <w:p>
      <w:pPr>
        <w:pStyle w:val="4"/>
        <w:numPr>
          <w:ilvl w:val="1"/>
          <w:numId w:val="0"/>
        </w:numPr>
        <w:bidi w:val="0"/>
        <w:ind w:leftChars="0"/>
        <w:rPr>
          <w:rFonts w:hint="default"/>
          <w:lang w:val="en-US" w:eastAsia="zh-CN"/>
        </w:rPr>
      </w:pPr>
      <w:bookmarkStart w:id="110" w:name="_Toc5367"/>
      <w:r>
        <w:rPr>
          <w:rFonts w:hint="eastAsia"/>
          <w:lang w:val="en-US" w:eastAsia="zh-CN"/>
        </w:rPr>
        <w:t>5.1 LDAR环境和经济效益</w:t>
      </w:r>
      <w:bookmarkEnd w:id="11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1、</w:t>
      </w:r>
      <w:r>
        <w:rPr>
          <w:rFonts w:hint="eastAsia" w:ascii="宋体" w:hAnsi="宋体" w:eastAsia="宋体" w:cs="宋体"/>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2、</w:t>
      </w:r>
      <w:r>
        <w:rPr>
          <w:rFonts w:hint="eastAsia" w:ascii="宋体" w:hAnsi="宋体" w:eastAsia="宋体" w:cs="宋体"/>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3、</w:t>
      </w:r>
      <w:r>
        <w:rPr>
          <w:rFonts w:hint="eastAsia" w:ascii="宋体" w:hAnsi="宋体" w:eastAsia="宋体" w:cs="宋体"/>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4、</w:t>
      </w:r>
      <w:r>
        <w:rPr>
          <w:rFonts w:hint="eastAsia" w:ascii="宋体" w:hAnsi="宋体" w:eastAsia="宋体" w:cs="宋体"/>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val="en-US" w:eastAsia="zh-CN" w:bidi="en-US"/>
        </w:rPr>
        <w:t>5、</w:t>
      </w:r>
      <w:r>
        <w:rPr>
          <w:rFonts w:hint="eastAsia" w:ascii="宋体" w:hAnsi="宋体" w:eastAsia="宋体" w:cs="宋体"/>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lang w:val="en-US" w:eastAsia="zh-CN"/>
        </w:rPr>
      </w:pPr>
      <w:bookmarkStart w:id="111" w:name="_Toc27538"/>
      <w:r>
        <w:rPr>
          <w:rFonts w:hint="eastAsia"/>
          <w:lang w:val="en-US" w:eastAsia="zh-CN"/>
        </w:rPr>
        <w:t>5.2下季度LDAR工作计划</w:t>
      </w:r>
      <w:bookmarkEnd w:id="11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cstheme="minorBidi"/>
          <w:b w:val="0"/>
          <w:caps w:val="0"/>
          <w:spacing w:val="0"/>
          <w:kern w:val="2"/>
          <w:sz w:val="21"/>
          <w:szCs w:val="21"/>
          <w:lang w:val="en-US" w:eastAsia="zh-CN" w:bidi="en-US"/>
        </w:rPr>
      </w:pPr>
      <w:r>
        <w:rPr>
          <w:rFonts w:hint="eastAsia" w:ascii="宋体" w:hAnsi="宋体" w:eastAsiaTheme="minorEastAsia" w:cstheme="minorBidi"/>
          <w:b w:val="0"/>
          <w:caps w:val="0"/>
          <w:spacing w:val="0"/>
          <w:kern w:val="2"/>
          <w:sz w:val="21"/>
          <w:szCs w:val="21"/>
          <w:lang w:val="en-US" w:eastAsia="zh-CN" w:bidi="en-US"/>
        </w:rPr>
        <w:t>按照各设备类型检测周期，结合生产情况，安排下</w:t>
      </w:r>
      <w:r>
        <w:rPr>
          <w:rFonts w:hint="eastAsia" w:ascii="宋体" w:hAnsi="宋体" w:cstheme="minorBidi"/>
          <w:b w:val="0"/>
          <w:caps w:val="0"/>
          <w:spacing w:val="0"/>
          <w:kern w:val="2"/>
          <w:sz w:val="21"/>
          <w:szCs w:val="21"/>
          <w:lang w:val="en-US" w:eastAsia="zh-CN" w:bidi="en-US"/>
        </w:rPr>
        <w:t>季度</w:t>
      </w:r>
      <w:r>
        <w:rPr>
          <w:rFonts w:hint="eastAsia" w:ascii="宋体" w:hAnsi="宋体" w:eastAsiaTheme="minorEastAsia" w:cstheme="minorBidi"/>
          <w:b w:val="0"/>
          <w:caps w:val="0"/>
          <w:spacing w:val="0"/>
          <w:kern w:val="2"/>
          <w:sz w:val="21"/>
          <w:szCs w:val="21"/>
          <w:lang w:val="en-US" w:eastAsia="zh-CN" w:bidi="en-US"/>
        </w:rPr>
        <w:t>检测时间。</w:t>
      </w:r>
    </w:p>
    <w:p>
      <w:pPr>
        <w:spacing w:before="240"/>
        <w:jc w:val="both"/>
        <w:rPr>
          <w:rFonts w:hint="eastAsia" w:asciiTheme="minorEastAsia" w:hAnsiTheme="minorEastAsia" w:eastAsiaTheme="minorEastAsia" w:cstheme="minorEastAsia"/>
          <w:sz w:val="21"/>
          <w:szCs w:val="21"/>
        </w:rPr>
      </w:pPr>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bidi="en-US"/>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eastAsia"/>
        </w:rPr>
      </w:pPr>
    </w:p>
    <w:p>
      <w:pPr>
        <w:rPr>
          <w:rFonts w:hint="default"/>
          <w:lang w:val="en-US" w:eastAsia="zh-CN"/>
        </w:rPr>
      </w:pPr>
    </w:p>
    <w:p>
      <w:pPr>
        <w:pStyle w:val="3"/>
        <w:numPr>
          <w:ilvl w:val="0"/>
          <w:numId w:val="0"/>
        </w:numPr>
        <w:spacing w:before="240"/>
        <w:ind w:left="432" w:hanging="432"/>
        <w:jc w:val="left"/>
        <w:rPr>
          <w:rFonts w:hint="eastAsia" w:cs="宋体"/>
          <w:b/>
          <w:bCs/>
          <w:caps w:val="0"/>
          <w:color w:val="auto"/>
          <w:spacing w:val="0"/>
          <w:kern w:val="2"/>
          <w:sz w:val="28"/>
          <w:szCs w:val="28"/>
          <w:lang w:val="en-US" w:eastAsia="zh-CN" w:bidi="en-US"/>
        </w:rPr>
      </w:pPr>
      <w:bookmarkStart w:id="112" w:name="_Toc20171"/>
      <w:bookmarkStart w:id="113" w:name="_Toc31900"/>
      <w:bookmarkStart w:id="114" w:name="_Toc3471"/>
      <w:bookmarkStart w:id="115" w:name="_Toc23871"/>
      <w:bookmarkStart w:id="116" w:name="_Toc25776"/>
      <w:bookmarkStart w:id="117" w:name="_Toc1288"/>
      <w:r>
        <w:rPr>
          <w:rFonts w:hint="eastAsia" w:ascii="宋体" w:hAnsi="宋体" w:eastAsia="宋体" w:cs="宋体"/>
          <w:color w:val="auto"/>
        </w:rPr>
        <w:t>附表</w:t>
      </w:r>
      <w:r>
        <w:rPr>
          <w:rFonts w:hint="eastAsia" w:cs="宋体"/>
          <w:color w:val="auto"/>
          <w:lang w:val="en-US" w:eastAsia="zh-CN"/>
        </w:rPr>
        <w:t>6</w:t>
      </w:r>
      <w:r>
        <w:rPr>
          <w:rFonts w:hint="eastAsia" w:ascii="宋体" w:hAnsi="宋体" w:eastAsia="宋体" w:cs="宋体"/>
          <w:color w:val="auto"/>
        </w:rPr>
        <w:t>.</w:t>
      </w:r>
      <w:r>
        <w:rPr>
          <w:rFonts w:hint="eastAsia" w:cs="宋体"/>
          <w:b/>
          <w:bCs/>
          <w:caps w:val="0"/>
          <w:color w:val="auto"/>
          <w:spacing w:val="0"/>
          <w:kern w:val="2"/>
          <w:sz w:val="28"/>
          <w:szCs w:val="28"/>
          <w:lang w:val="en-US" w:eastAsia="zh-CN" w:bidi="en-US"/>
        </w:rPr>
        <w:t xml:space="preserve"> </w:t>
      </w:r>
      <w:bookmarkEnd w:id="112"/>
      <w:r>
        <w:rPr>
          <w:rFonts w:hint="eastAsia" w:cs="宋体"/>
          <w:b/>
          <w:bCs/>
          <w:caps w:val="0"/>
          <w:color w:val="auto"/>
          <w:spacing w:val="0"/>
          <w:kern w:val="2"/>
          <w:sz w:val="28"/>
          <w:szCs w:val="28"/>
          <w:lang w:val="en-US" w:eastAsia="zh-CN" w:bidi="en-US"/>
        </w:rPr>
        <w:t>山东华油万达化学有限公司</w:t>
      </w:r>
    </w:p>
    <w:p>
      <w:pPr>
        <w:pStyle w:val="3"/>
        <w:numPr>
          <w:ilvl w:val="0"/>
          <w:numId w:val="0"/>
        </w:numPr>
        <w:spacing w:before="240"/>
        <w:ind w:left="494" w:leftChars="206" w:firstLine="3143" w:firstLineChars="1118"/>
        <w:jc w:val="left"/>
        <w:rPr>
          <w:rFonts w:hint="eastAsia" w:ascii="宋体" w:hAnsi="宋体" w:eastAsia="宋体" w:cs="宋体"/>
          <w:color w:val="auto"/>
        </w:rPr>
      </w:pPr>
      <w:bookmarkStart w:id="118" w:name="_Toc4788"/>
      <w:r>
        <w:rPr>
          <w:rFonts w:hint="eastAsia" w:ascii="宋体" w:hAnsi="宋体" w:eastAsia="宋体" w:cs="宋体"/>
          <w:b/>
          <w:bCs/>
          <w:caps w:val="0"/>
          <w:color w:val="auto"/>
          <w:spacing w:val="0"/>
          <w:kern w:val="2"/>
          <w:sz w:val="28"/>
          <w:szCs w:val="28"/>
          <w:lang w:val="en-US" w:eastAsia="zh-CN" w:bidi="en-US"/>
        </w:rPr>
        <w:t>202</w:t>
      </w:r>
      <w:r>
        <w:rPr>
          <w:rFonts w:hint="eastAsia" w:cs="宋体"/>
          <w:b/>
          <w:bCs/>
          <w:caps w:val="0"/>
          <w:color w:val="auto"/>
          <w:spacing w:val="0"/>
          <w:kern w:val="2"/>
          <w:sz w:val="28"/>
          <w:szCs w:val="28"/>
          <w:lang w:val="en-US" w:eastAsia="zh-CN" w:bidi="en-US"/>
        </w:rPr>
        <w:t>3</w:t>
      </w:r>
      <w:r>
        <w:rPr>
          <w:rFonts w:hint="eastAsia" w:ascii="宋体" w:hAnsi="宋体" w:eastAsia="宋体" w:cs="宋体"/>
          <w:b/>
          <w:bCs/>
          <w:caps w:val="0"/>
          <w:color w:val="auto"/>
          <w:spacing w:val="0"/>
          <w:kern w:val="2"/>
          <w:sz w:val="28"/>
          <w:szCs w:val="28"/>
          <w:lang w:val="en-US" w:eastAsia="zh-CN" w:bidi="en-US"/>
        </w:rPr>
        <w:t>年LDAR汇总表</w:t>
      </w:r>
      <w:bookmarkEnd w:id="113"/>
      <w:bookmarkEnd w:id="114"/>
      <w:bookmarkEnd w:id="115"/>
      <w:bookmarkEnd w:id="116"/>
      <w:bookmarkEnd w:id="117"/>
      <w:bookmarkEnd w:id="118"/>
    </w:p>
    <w:p>
      <w:pPr>
        <w:jc w:val="right"/>
        <w:rPr>
          <w:rFonts w:ascii="宋体" w:hAnsi="宋体" w:eastAsia="宋体" w:cs="宋体"/>
          <w:color w:val="000000"/>
        </w:rPr>
      </w:pPr>
      <w:r>
        <w:rPr>
          <w:rFonts w:hint="eastAsia"/>
          <w:color w:val="000000"/>
          <w:lang w:val="en-US" w:eastAsia="zh-CN"/>
        </w:rPr>
        <w:t xml:space="preserve">   </w:t>
      </w:r>
      <w:r>
        <w:rPr>
          <w:rFonts w:hint="eastAsia" w:ascii="宋体" w:hAnsi="宋体" w:eastAsia="宋体" w:cs="宋体"/>
          <w:color w:val="000000"/>
          <w:sz w:val="21"/>
          <w:szCs w:val="21"/>
          <w:lang w:val="en-US" w:eastAsia="zh-CN"/>
        </w:rPr>
        <w:t>填表日期：</w:t>
      </w:r>
      <w:r>
        <w:rPr>
          <w:rFonts w:hint="eastAsia" w:ascii="宋体" w:hAnsi="宋体" w:cs="宋体"/>
          <w:color w:val="000000"/>
          <w:sz w:val="21"/>
          <w:szCs w:val="21"/>
          <w:lang w:val="en-US" w:eastAsia="zh-CN"/>
        </w:rPr>
        <w:t>2023年04月03日</w:t>
      </w:r>
      <w:r>
        <w:rPr>
          <w:rFonts w:hint="eastAsia" w:ascii="宋体" w:hAnsi="宋体" w:eastAsia="宋体" w:cs="宋体"/>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065"/>
        <w:gridCol w:w="1072"/>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tcBorders>
              <w:top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基本信息</w:t>
            </w:r>
          </w:p>
        </w:tc>
        <w:tc>
          <w:tcPr>
            <w:tcW w:w="2065" w:type="dxa"/>
            <w:gridSpan w:val="3"/>
            <w:tcBorders>
              <w:top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企业名称</w:t>
            </w:r>
          </w:p>
        </w:tc>
        <w:tc>
          <w:tcPr>
            <w:tcW w:w="6269" w:type="dxa"/>
            <w:gridSpan w:val="4"/>
            <w:tcBorders>
              <w:top w:val="single" w:color="auto" w:sz="12" w:space="0"/>
            </w:tcBorders>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b w:val="0"/>
                <w:bCs w:val="0"/>
                <w:sz w:val="21"/>
                <w:szCs w:val="21"/>
                <w:u w:val="none"/>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LDAR主管部门</w:t>
            </w:r>
          </w:p>
        </w:tc>
        <w:tc>
          <w:tcPr>
            <w:tcW w:w="6269" w:type="dxa"/>
            <w:gridSpan w:val="4"/>
            <w:noWrap/>
            <w:vAlign w:val="center"/>
          </w:tcPr>
          <w:p>
            <w:pPr>
              <w:pStyle w:val="2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联系人</w:t>
            </w:r>
          </w:p>
        </w:tc>
        <w:tc>
          <w:tcPr>
            <w:tcW w:w="2065" w:type="dxa"/>
            <w:noWrap/>
            <w:vAlign w:val="center"/>
          </w:tcPr>
          <w:p>
            <w:pPr>
              <w:pStyle w:val="26"/>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SA"/>
              </w:rPr>
              <w:t>郑经理</w:t>
            </w:r>
          </w:p>
        </w:tc>
        <w:tc>
          <w:tcPr>
            <w:tcW w:w="2064" w:type="dxa"/>
            <w:gridSpan w:val="2"/>
            <w:noWrap/>
            <w:vAlign w:val="center"/>
          </w:tcPr>
          <w:p>
            <w:pPr>
              <w:pStyle w:val="26"/>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140" w:type="dxa"/>
            <w:noWrap/>
            <w:vAlign w:val="center"/>
          </w:tcPr>
          <w:p>
            <w:pPr>
              <w:pStyle w:val="26"/>
              <w:jc w:val="center"/>
              <w:rPr>
                <w:rFonts w:hint="eastAsia" w:ascii="宋体" w:hAnsi="宋体" w:eastAsia="宋体" w:cs="宋体"/>
                <w:color w:val="000000"/>
                <w:sz w:val="21"/>
                <w:szCs w:val="21"/>
                <w:lang w:val="en-US" w:eastAsia="zh-CN"/>
              </w:rPr>
            </w:pPr>
            <w:r>
              <w:rPr>
                <w:rFonts w:hint="eastAsia" w:ascii="宋体" w:hAnsi="宋体" w:cs="宋体"/>
                <w:i w:val="0"/>
                <w:iCs w:val="0"/>
                <w:caps w:val="0"/>
                <w:spacing w:val="0"/>
                <w:sz w:val="21"/>
                <w:szCs w:val="21"/>
                <w:shd w:val="clear" w:fill="FFFFFF"/>
                <w:lang w:eastAsia="zh-CN"/>
              </w:rPr>
              <w:t>18866638597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邮箱</w:t>
            </w:r>
          </w:p>
        </w:tc>
        <w:tc>
          <w:tcPr>
            <w:tcW w:w="6269" w:type="dxa"/>
            <w:gridSpan w:val="4"/>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完成时间</w:t>
            </w:r>
          </w:p>
        </w:tc>
        <w:tc>
          <w:tcPr>
            <w:tcW w:w="8334" w:type="dxa"/>
            <w:gridSpan w:val="7"/>
            <w:noWrap/>
            <w:vAlign w:val="center"/>
          </w:tcPr>
          <w:p>
            <w:pPr>
              <w:pStyle w:val="22"/>
              <w:rPr>
                <w:rFonts w:hint="eastAsia" w:ascii="宋体" w:hAnsi="宋体" w:eastAsia="宋体" w:cs="宋体"/>
                <w:color w:val="000000"/>
                <w:kern w:val="16"/>
                <w:sz w:val="21"/>
                <w:szCs w:val="21"/>
              </w:rPr>
            </w:pPr>
            <w:r>
              <w:rPr>
                <w:rFonts w:hint="eastAsia" w:ascii="宋体" w:hAnsi="宋体" w:cs="宋体"/>
                <w:color w:val="000000"/>
                <w:sz w:val="21"/>
                <w:szCs w:val="21"/>
                <w:lang w:eastAsia="zh-CN"/>
              </w:rPr>
              <w:t>2023年04月03日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项目建立</w:t>
            </w:r>
          </w:p>
        </w:tc>
        <w:tc>
          <w:tcPr>
            <w:tcW w:w="1034" w:type="dxa"/>
            <w:noWrap/>
            <w:vAlign w:val="center"/>
          </w:tcPr>
          <w:p>
            <w:pPr>
              <w:pStyle w:val="22"/>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序号</w:t>
            </w:r>
          </w:p>
        </w:tc>
        <w:tc>
          <w:tcPr>
            <w:tcW w:w="3096" w:type="dxa"/>
            <w:gridSpan w:val="3"/>
            <w:noWrap/>
            <w:vAlign w:val="center"/>
          </w:tcPr>
          <w:p>
            <w:pPr>
              <w:pStyle w:val="22"/>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装置名称</w:t>
            </w:r>
          </w:p>
        </w:tc>
        <w:tc>
          <w:tcPr>
            <w:tcW w:w="2064" w:type="dxa"/>
            <w:gridSpan w:val="2"/>
            <w:noWrap/>
            <w:vAlign w:val="center"/>
          </w:tcPr>
          <w:p>
            <w:pPr>
              <w:pStyle w:val="22"/>
              <w:ind w:firstLine="210" w:firstLineChars="10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受控密封点数</w:t>
            </w:r>
          </w:p>
        </w:tc>
        <w:tc>
          <w:tcPr>
            <w:tcW w:w="2140" w:type="dxa"/>
            <w:noWrap/>
            <w:vAlign w:val="center"/>
          </w:tcPr>
          <w:p>
            <w:pPr>
              <w:pStyle w:val="22"/>
              <w:ind w:firstLine="210" w:firstLineChars="10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1</w:t>
            </w:r>
          </w:p>
        </w:tc>
        <w:tc>
          <w:tcPr>
            <w:tcW w:w="3096" w:type="dxa"/>
            <w:gridSpan w:val="3"/>
            <w:noWrap/>
            <w:vAlign w:val="center"/>
          </w:tcPr>
          <w:p>
            <w:pPr>
              <w:pStyle w:val="25"/>
              <w:ind w:firstLine="0" w:firstLineChars="0"/>
              <w:rPr>
                <w:rFonts w:hint="default" w:ascii="宋体" w:hAnsi="宋体" w:eastAsia="宋体" w:cs="宋体"/>
                <w:color w:val="000000"/>
                <w:kern w:val="16"/>
                <w:sz w:val="21"/>
                <w:szCs w:val="21"/>
                <w:lang w:val="en-US" w:eastAsia="zh-CN"/>
              </w:rPr>
            </w:pPr>
            <w:r>
              <w:rPr>
                <w:rFonts w:hint="eastAsia" w:ascii="宋体" w:hAnsi="宋体" w:cs="宋体"/>
                <w:color w:val="000000"/>
                <w:kern w:val="16"/>
                <w:sz w:val="21"/>
                <w:szCs w:val="21"/>
                <w:lang w:val="en-US" w:eastAsia="zh-CN"/>
              </w:rPr>
              <w:t>PAM水合工序</w:t>
            </w:r>
          </w:p>
        </w:tc>
        <w:tc>
          <w:tcPr>
            <w:tcW w:w="2064" w:type="dxa"/>
            <w:gridSpan w:val="2"/>
            <w:noWrap/>
            <w:vAlign w:val="center"/>
          </w:tcPr>
          <w:p>
            <w:pPr>
              <w:pStyle w:val="25"/>
              <w:ind w:firstLine="0" w:firstLineChars="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Cs/>
                <w:sz w:val="21"/>
                <w:szCs w:val="21"/>
                <w:lang w:val="en-US" w:eastAsia="zh-CN"/>
              </w:rPr>
              <w:t>42</w:t>
            </w:r>
          </w:p>
        </w:tc>
        <w:tc>
          <w:tcPr>
            <w:tcW w:w="2140" w:type="dxa"/>
            <w:noWrap/>
            <w:vAlign w:val="center"/>
          </w:tcPr>
          <w:p>
            <w:pPr>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ind w:firstLine="210" w:firstLineChars="100"/>
              <w:jc w:val="both"/>
              <w:rPr>
                <w:rFonts w:hint="eastAsia" w:ascii="宋体" w:hAnsi="宋体" w:eastAsia="宋体" w:cs="宋体"/>
                <w:sz w:val="21"/>
                <w:szCs w:val="21"/>
              </w:rPr>
            </w:pPr>
          </w:p>
        </w:tc>
        <w:tc>
          <w:tcPr>
            <w:tcW w:w="1034" w:type="dxa"/>
            <w:noWrap/>
            <w:vAlign w:val="center"/>
          </w:tcPr>
          <w:p>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3096" w:type="dxa"/>
            <w:gridSpan w:val="3"/>
            <w:noWrap/>
            <w:vAlign w:val="center"/>
          </w:tcPr>
          <w:p>
            <w:pPr>
              <w:pStyle w:val="25"/>
              <w:ind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储运装置</w:t>
            </w:r>
          </w:p>
        </w:tc>
        <w:tc>
          <w:tcPr>
            <w:tcW w:w="2064" w:type="dxa"/>
            <w:gridSpan w:val="2"/>
            <w:noWrap/>
            <w:vAlign w:val="center"/>
          </w:tcPr>
          <w:p>
            <w:pPr>
              <w:pStyle w:val="25"/>
              <w:ind w:firstLine="0" w:firstLineChars="0"/>
              <w:rPr>
                <w:rFonts w:hint="default" w:ascii="宋体" w:hAnsi="宋体" w:cs="宋体"/>
                <w:bCs/>
                <w:sz w:val="21"/>
                <w:szCs w:val="21"/>
                <w:lang w:val="en-US" w:eastAsia="zh-CN"/>
              </w:rPr>
            </w:pPr>
            <w:r>
              <w:rPr>
                <w:rFonts w:hint="eastAsia" w:ascii="宋体" w:hAnsi="宋体" w:cs="宋体"/>
                <w:bCs/>
                <w:sz w:val="21"/>
                <w:szCs w:val="21"/>
                <w:lang w:val="en-US" w:eastAsia="zh-CN"/>
              </w:rPr>
              <w:t>44</w:t>
            </w:r>
          </w:p>
        </w:tc>
        <w:tc>
          <w:tcPr>
            <w:tcW w:w="2140" w:type="dxa"/>
            <w:noWrap/>
            <w:vAlign w:val="center"/>
          </w:tcPr>
          <w:p>
            <w:pPr>
              <w:ind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ind w:firstLine="210" w:firstLineChars="100"/>
              <w:jc w:val="both"/>
              <w:rPr>
                <w:rFonts w:hint="eastAsia" w:ascii="宋体" w:hAnsi="宋体" w:eastAsia="宋体" w:cs="宋体"/>
                <w:color w:val="000000"/>
                <w:kern w:val="16"/>
                <w:sz w:val="21"/>
                <w:szCs w:val="21"/>
              </w:rPr>
            </w:pPr>
          </w:p>
        </w:tc>
        <w:tc>
          <w:tcPr>
            <w:tcW w:w="4130" w:type="dxa"/>
            <w:gridSpan w:val="4"/>
            <w:noWrap/>
            <w:vAlign w:val="center"/>
          </w:tcPr>
          <w:p>
            <w:pPr>
              <w:pStyle w:val="22"/>
              <w:ind w:firstLine="210" w:firstLineChars="100"/>
              <w:jc w:val="center"/>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合计</w:t>
            </w:r>
          </w:p>
        </w:tc>
        <w:tc>
          <w:tcPr>
            <w:tcW w:w="2064" w:type="dxa"/>
            <w:gridSpan w:val="2"/>
            <w:noWrap/>
            <w:vAlign w:val="center"/>
          </w:tcPr>
          <w:p>
            <w:pPr>
              <w:pStyle w:val="22"/>
              <w:ind w:left="630" w:leftChars="0" w:hanging="630" w:hangingChars="30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86</w:t>
            </w:r>
          </w:p>
        </w:tc>
        <w:tc>
          <w:tcPr>
            <w:tcW w:w="2140" w:type="dxa"/>
            <w:noWrap/>
            <w:vAlign w:val="center"/>
          </w:tcPr>
          <w:p>
            <w:pPr>
              <w:pStyle w:val="22"/>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现场检测</w:t>
            </w: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起始日期</w:t>
            </w:r>
          </w:p>
        </w:tc>
        <w:tc>
          <w:tcPr>
            <w:tcW w:w="2065" w:type="dxa"/>
            <w:noWrap/>
            <w:vAlign w:val="center"/>
          </w:tcPr>
          <w:p>
            <w:pPr>
              <w:pStyle w:val="22"/>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2023年04月03日</w:t>
            </w:r>
          </w:p>
        </w:tc>
        <w:tc>
          <w:tcPr>
            <w:tcW w:w="2064" w:type="dxa"/>
            <w:gridSpan w:val="2"/>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完成日期</w:t>
            </w:r>
          </w:p>
        </w:tc>
        <w:tc>
          <w:tcPr>
            <w:tcW w:w="2140" w:type="dxa"/>
            <w:noWrap/>
            <w:vAlign w:val="center"/>
          </w:tcPr>
          <w:p>
            <w:pPr>
              <w:pStyle w:val="22"/>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2023年04月03日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检测密封点数</w:t>
            </w:r>
          </w:p>
        </w:tc>
        <w:tc>
          <w:tcPr>
            <w:tcW w:w="2065" w:type="dxa"/>
            <w:noWrap/>
            <w:vAlign w:val="center"/>
          </w:tcPr>
          <w:p>
            <w:pPr>
              <w:pStyle w:val="22"/>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86</w:t>
            </w:r>
          </w:p>
        </w:tc>
        <w:tc>
          <w:tcPr>
            <w:tcW w:w="2064"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泄漏点数</w:t>
            </w:r>
          </w:p>
        </w:tc>
        <w:tc>
          <w:tcPr>
            <w:tcW w:w="2140" w:type="dxa"/>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top"/>
          </w:tcPr>
          <w:p>
            <w:pPr>
              <w:pStyle w:val="22"/>
              <w:jc w:val="left"/>
              <w:rPr>
                <w:rFonts w:hint="eastAsia" w:ascii="宋体" w:hAnsi="宋体" w:eastAsia="宋体" w:cs="宋体"/>
                <w:color w:val="000000"/>
                <w:kern w:val="16"/>
                <w:sz w:val="21"/>
                <w:szCs w:val="21"/>
                <w:lang w:val="en-US" w:eastAsia="zh-CN"/>
              </w:rPr>
            </w:pPr>
            <w:r>
              <w:rPr>
                <w:rFonts w:hint="eastAsia" w:ascii="宋体" w:hAnsi="宋体" w:eastAsia="宋体" w:cs="宋体"/>
                <w:color w:val="000000"/>
                <w:kern w:val="16"/>
                <w:sz w:val="21"/>
                <w:szCs w:val="21"/>
                <w:lang w:val="en-US" w:eastAsia="zh-CN"/>
              </w:rPr>
              <w:t>泄漏检测值达到或超过10000μmol/mol的泄漏点数</w:t>
            </w:r>
          </w:p>
        </w:tc>
        <w:tc>
          <w:tcPr>
            <w:tcW w:w="6269" w:type="dxa"/>
            <w:gridSpan w:val="4"/>
            <w:noWrap/>
            <w:vAlign w:val="center"/>
          </w:tcPr>
          <w:p>
            <w:pPr>
              <w:pStyle w:val="22"/>
              <w:ind w:firstLine="2730" w:firstLineChars="13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restart"/>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修复</w:t>
            </w: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5日内首次</w:t>
            </w:r>
            <w:r>
              <w:rPr>
                <w:rFonts w:hint="eastAsia" w:ascii="宋体" w:hAnsi="宋体" w:eastAsia="宋体" w:cs="宋体"/>
                <w:color w:val="000000"/>
                <w:sz w:val="21"/>
                <w:szCs w:val="21"/>
                <w:lang w:val="en-US" w:eastAsia="zh-CN"/>
              </w:rPr>
              <w:t>尝试</w:t>
            </w:r>
            <w:r>
              <w:rPr>
                <w:rFonts w:hint="eastAsia" w:ascii="宋体" w:hAnsi="宋体" w:eastAsia="宋体" w:cs="宋体"/>
                <w:color w:val="000000"/>
                <w:sz w:val="21"/>
                <w:szCs w:val="21"/>
              </w:rPr>
              <w:t>维修修复密封点数</w:t>
            </w:r>
          </w:p>
        </w:tc>
        <w:tc>
          <w:tcPr>
            <w:tcW w:w="2065" w:type="dxa"/>
            <w:noWrap/>
            <w:vAlign w:val="center"/>
          </w:tcPr>
          <w:p>
            <w:pPr>
              <w:pStyle w:val="2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2064"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15日内实质性维修修复密封点数</w:t>
            </w:r>
          </w:p>
        </w:tc>
        <w:tc>
          <w:tcPr>
            <w:tcW w:w="2140" w:type="dxa"/>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5"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lang w:val="en-US" w:eastAsia="zh-CN"/>
              </w:rPr>
              <w:t>已完成</w:t>
            </w:r>
            <w:r>
              <w:rPr>
                <w:rFonts w:hint="eastAsia" w:ascii="宋体" w:hAnsi="宋体" w:eastAsia="宋体" w:cs="宋体"/>
                <w:color w:val="000000"/>
                <w:sz w:val="21"/>
                <w:szCs w:val="21"/>
              </w:rPr>
              <w:t>修复密封点数</w:t>
            </w:r>
          </w:p>
        </w:tc>
        <w:tc>
          <w:tcPr>
            <w:tcW w:w="6269" w:type="dxa"/>
            <w:gridSpan w:val="4"/>
            <w:noWrap/>
            <w:vAlign w:val="center"/>
          </w:tcPr>
          <w:p>
            <w:pPr>
              <w:pStyle w:val="22"/>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8334" w:type="dxa"/>
            <w:gridSpan w:val="7"/>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noWrap/>
            <w:vAlign w:val="center"/>
          </w:tcPr>
          <w:p>
            <w:pPr>
              <w:pStyle w:val="22"/>
              <w:rPr>
                <w:rFonts w:hint="eastAsia" w:ascii="宋体" w:hAnsi="宋体" w:eastAsia="宋体" w:cs="宋体"/>
                <w:color w:val="000000"/>
                <w:sz w:val="21"/>
                <w:szCs w:val="21"/>
              </w:rPr>
            </w:pPr>
          </w:p>
        </w:tc>
        <w:tc>
          <w:tcPr>
            <w:tcW w:w="2063" w:type="dxa"/>
            <w:gridSpan w:val="2"/>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延迟修复泄漏点数</w:t>
            </w:r>
          </w:p>
        </w:tc>
        <w:tc>
          <w:tcPr>
            <w:tcW w:w="3139" w:type="dxa"/>
            <w:gridSpan w:val="3"/>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延迟修复</w:t>
            </w:r>
            <w:r>
              <w:rPr>
                <w:rFonts w:hint="eastAsia" w:ascii="宋体" w:hAnsi="宋体" w:eastAsia="宋体" w:cs="宋体"/>
                <w:color w:val="000000"/>
                <w:kern w:val="16"/>
                <w:sz w:val="21"/>
                <w:szCs w:val="21"/>
                <w:lang w:val="en-US" w:eastAsia="zh-CN"/>
              </w:rPr>
              <w:t>泄漏检测值达到或超过10000μmol/mol的泄漏点数</w:t>
            </w:r>
          </w:p>
        </w:tc>
        <w:tc>
          <w:tcPr>
            <w:tcW w:w="3132" w:type="dxa"/>
            <w:gridSpan w:val="2"/>
            <w:noWrap/>
            <w:vAlign w:val="center"/>
          </w:tcPr>
          <w:p>
            <w:pPr>
              <w:pStyle w:val="22"/>
              <w:rPr>
                <w:rFonts w:hint="eastAsia" w:ascii="宋体" w:hAnsi="宋体" w:eastAsia="宋体" w:cs="宋体"/>
                <w:color w:val="000000"/>
                <w:kern w:val="16"/>
                <w:sz w:val="21"/>
                <w:szCs w:val="21"/>
              </w:rPr>
            </w:pPr>
            <w:r>
              <w:rPr>
                <w:rFonts w:hint="eastAsia" w:ascii="宋体" w:hAnsi="宋体" w:eastAsia="宋体" w:cs="宋体"/>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4" w:type="dxa"/>
            <w:vMerge w:val="continue"/>
            <w:tcBorders>
              <w:bottom w:val="single" w:color="auto" w:sz="12" w:space="0"/>
            </w:tcBorders>
            <w:noWrap/>
            <w:vAlign w:val="center"/>
          </w:tcPr>
          <w:p>
            <w:pPr>
              <w:pStyle w:val="22"/>
              <w:rPr>
                <w:rFonts w:hint="eastAsia" w:ascii="宋体" w:hAnsi="宋体" w:eastAsia="宋体" w:cs="宋体"/>
                <w:color w:val="000000"/>
                <w:sz w:val="21"/>
                <w:szCs w:val="21"/>
              </w:rPr>
            </w:pPr>
          </w:p>
        </w:tc>
        <w:tc>
          <w:tcPr>
            <w:tcW w:w="2063" w:type="dxa"/>
            <w:gridSpan w:val="2"/>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9" w:type="dxa"/>
            <w:gridSpan w:val="3"/>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0</w:t>
            </w:r>
          </w:p>
        </w:tc>
        <w:tc>
          <w:tcPr>
            <w:tcW w:w="3132" w:type="dxa"/>
            <w:gridSpan w:val="2"/>
            <w:tcBorders>
              <w:bottom w:val="single" w:color="auto" w:sz="12" w:space="0"/>
            </w:tcBorders>
            <w:noWrap/>
            <w:vAlign w:val="center"/>
          </w:tcPr>
          <w:p>
            <w:pPr>
              <w:pStyle w:val="22"/>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bl>
    <w:p>
      <w:pPr>
        <w:pStyle w:val="2"/>
        <w:rPr>
          <w:rFonts w:hint="eastAsia" w:ascii="宋体" w:hAnsi="宋体" w:eastAsia="宋体" w:cs="宋体"/>
        </w:rPr>
        <w:sectPr>
          <w:footerReference r:id="rId9" w:type="default"/>
          <w:pgSz w:w="11906" w:h="16838"/>
          <w:pgMar w:top="1418"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4"/>
        <w:numPr>
          <w:ilvl w:val="1"/>
          <w:numId w:val="0"/>
        </w:numPr>
        <w:bidi w:val="0"/>
        <w:ind w:leftChars="0"/>
        <w:jc w:val="center"/>
        <w:rPr>
          <w:rFonts w:hint="default" w:ascii="宋体" w:hAnsi="宋体" w:eastAsia="宋体" w:cs="宋体"/>
          <w:lang w:val="en-US" w:eastAsia="zh-CN"/>
        </w:rPr>
      </w:pPr>
      <w:bookmarkStart w:id="119" w:name="_Toc22058"/>
      <w:r>
        <w:rPr>
          <w:rFonts w:hint="eastAsia" w:ascii="宋体" w:hAnsi="宋体" w:eastAsia="宋体" w:cs="宋体"/>
          <w:lang w:val="en-US" w:eastAsia="zh-CN"/>
        </w:rPr>
        <w:t xml:space="preserve">6.1 </w:t>
      </w:r>
      <w:r>
        <w:rPr>
          <w:rFonts w:hint="eastAsia" w:ascii="宋体" w:hAnsi="宋体" w:cs="宋体"/>
          <w:b/>
          <w:bCs/>
          <w:lang w:val="en-US" w:eastAsia="zh-CN"/>
        </w:rPr>
        <w:t>山东华油万达化学有限公司</w:t>
      </w:r>
      <w:r>
        <w:rPr>
          <w:rFonts w:hint="eastAsia" w:ascii="宋体" w:hAnsi="宋体" w:eastAsia="宋体" w:cs="宋体"/>
          <w:b/>
          <w:bCs/>
          <w:lang w:val="en-US" w:eastAsia="zh-CN"/>
        </w:rPr>
        <w:t>2023</w:t>
      </w:r>
      <w:r>
        <w:rPr>
          <w:rFonts w:hint="eastAsia" w:ascii="宋体" w:hAnsi="宋体" w:eastAsia="宋体" w:cs="宋体"/>
          <w:lang w:val="en-US" w:eastAsia="zh-CN"/>
        </w:rPr>
        <w:t>年LDAR装置统计</w:t>
      </w:r>
      <w:r>
        <w:rPr>
          <w:rFonts w:hint="eastAsia" w:ascii="宋体" w:hAnsi="宋体" w:cs="宋体"/>
          <w:lang w:val="en-US" w:eastAsia="zh-CN"/>
        </w:rPr>
        <w:t>表</w:t>
      </w:r>
      <w:bookmarkEnd w:id="119"/>
    </w:p>
    <w:p>
      <w:pPr>
        <w:pStyle w:val="22"/>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 xml:space="preserve">                                                                                                          填表日期：</w:t>
      </w:r>
      <w:r>
        <w:rPr>
          <w:rFonts w:hint="eastAsia" w:ascii="宋体" w:hAnsi="宋体" w:cs="宋体"/>
          <w:color w:val="000000"/>
          <w:kern w:val="2"/>
          <w:sz w:val="21"/>
          <w:szCs w:val="21"/>
          <w:lang w:val="en-US" w:eastAsia="zh-CN" w:bidi="ar-SA"/>
        </w:rPr>
        <w:t>2023年04月03日</w:t>
      </w:r>
    </w:p>
    <w:tbl>
      <w:tblPr>
        <w:tblStyle w:val="12"/>
        <w:tblW w:w="4931"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777"/>
        <w:gridCol w:w="1237"/>
        <w:gridCol w:w="1402"/>
        <w:gridCol w:w="1122"/>
        <w:gridCol w:w="1071"/>
        <w:gridCol w:w="1066"/>
        <w:gridCol w:w="1669"/>
        <w:gridCol w:w="1480"/>
        <w:gridCol w:w="1236"/>
        <w:gridCol w:w="224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装置名称</w:t>
            </w:r>
          </w:p>
        </w:tc>
        <w:tc>
          <w:tcPr>
            <w:tcW w:w="922"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PAM水合工序</w:t>
            </w:r>
          </w:p>
        </w:tc>
        <w:tc>
          <w:tcPr>
            <w:tcW w:w="766" w:type="pct"/>
            <w:gridSpan w:val="2"/>
            <w:tcBorders>
              <w:top w:val="single" w:color="auto" w:sz="12" w:space="0"/>
            </w:tcBorders>
            <w:noWrap/>
            <w:vAlign w:val="center"/>
          </w:tcPr>
          <w:p>
            <w:pPr>
              <w:pStyle w:val="22"/>
              <w:rPr>
                <w:rFonts w:hint="eastAsia" w:ascii="宋体" w:hAnsi="宋体" w:cs="宋体"/>
                <w:color w:val="auto"/>
                <w:sz w:val="21"/>
                <w:szCs w:val="21"/>
              </w:rPr>
            </w:pPr>
            <w:r>
              <w:rPr>
                <w:rFonts w:hint="eastAsia" w:ascii="宋体" w:hAnsi="宋体" w:cs="宋体"/>
                <w:color w:val="auto"/>
                <w:sz w:val="21"/>
                <w:szCs w:val="21"/>
              </w:rPr>
              <w:t>装置编码</w:t>
            </w:r>
          </w:p>
        </w:tc>
        <w:tc>
          <w:tcPr>
            <w:tcW w:w="955"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XXPAM0</w:t>
            </w:r>
          </w:p>
        </w:tc>
        <w:tc>
          <w:tcPr>
            <w:tcW w:w="517"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年加工/生产能力</w:t>
            </w:r>
          </w:p>
        </w:tc>
        <w:tc>
          <w:tcPr>
            <w:tcW w:w="1215"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装置初次</w:t>
            </w:r>
          </w:p>
          <w:p>
            <w:pPr>
              <w:pStyle w:val="22"/>
              <w:rPr>
                <w:rFonts w:ascii="宋体" w:hAnsi="宋体" w:cs="宋体"/>
                <w:color w:val="auto"/>
                <w:sz w:val="21"/>
                <w:szCs w:val="21"/>
              </w:rPr>
            </w:pPr>
            <w:r>
              <w:rPr>
                <w:rFonts w:hint="eastAsia" w:ascii="宋体" w:hAnsi="宋体" w:cs="宋体"/>
                <w:color w:val="auto"/>
                <w:sz w:val="21"/>
                <w:szCs w:val="21"/>
              </w:rPr>
              <w:t>开工日期</w:t>
            </w:r>
          </w:p>
        </w:tc>
        <w:tc>
          <w:tcPr>
            <w:tcW w:w="432" w:type="pct"/>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490"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装置上次停车检修日期</w:t>
            </w:r>
          </w:p>
        </w:tc>
        <w:tc>
          <w:tcPr>
            <w:tcW w:w="1722" w:type="pct"/>
            <w:gridSpan w:val="4"/>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517" w:type="pct"/>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装置下次停车检修日期</w:t>
            </w:r>
          </w:p>
        </w:tc>
        <w:tc>
          <w:tcPr>
            <w:tcW w:w="1215" w:type="pct"/>
            <w:gridSpan w:val="2"/>
            <w:noWrap/>
            <w:vAlign w:val="center"/>
          </w:tcPr>
          <w:p>
            <w:pPr>
              <w:pStyle w:val="22"/>
              <w:rPr>
                <w:rFonts w:ascii="宋体" w:hAnsi="宋体" w:cs="宋体"/>
                <w:color w:val="auto"/>
                <w:sz w:val="21"/>
                <w:szCs w:val="21"/>
              </w:rPr>
            </w:pPr>
            <w:r>
              <w:rPr>
                <w:rFonts w:hint="eastAsia" w:ascii="宋体" w:hAnsi="宋体" w:cs="宋体"/>
                <w:color w:val="auto"/>
                <w:szCs w:val="18"/>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vMerge w:val="restart"/>
            <w:noWrap/>
            <w:vAlign w:val="center"/>
          </w:tcPr>
          <w:p>
            <w:pPr>
              <w:pStyle w:val="22"/>
              <w:rPr>
                <w:rFonts w:ascii="宋体" w:hAnsi="宋体" w:cs="宋体"/>
                <w:color w:val="auto"/>
                <w:sz w:val="21"/>
                <w:szCs w:val="21"/>
              </w:rPr>
            </w:pPr>
            <w:r>
              <w:rPr>
                <w:rFonts w:hint="eastAsia" w:ascii="宋体" w:hAnsi="宋体" w:cs="宋体"/>
                <w:color w:val="auto"/>
                <w:sz w:val="21"/>
                <w:szCs w:val="21"/>
              </w:rPr>
              <w:t>密封点类别</w:t>
            </w:r>
          </w:p>
        </w:tc>
        <w:tc>
          <w:tcPr>
            <w:tcW w:w="922" w:type="pct"/>
            <w:gridSpan w:val="2"/>
            <w:noWrap/>
            <w:vAlign w:val="center"/>
          </w:tcPr>
          <w:p>
            <w:pPr>
              <w:pStyle w:val="22"/>
              <w:rPr>
                <w:rFonts w:ascii="宋体" w:hAnsi="宋体" w:cs="宋体"/>
                <w:color w:val="auto"/>
                <w:sz w:val="21"/>
                <w:szCs w:val="21"/>
              </w:rPr>
            </w:pPr>
            <w:r>
              <w:rPr>
                <w:rFonts w:hint="eastAsia" w:ascii="宋体" w:hAnsi="宋体" w:cs="宋体"/>
                <w:color w:val="auto"/>
                <w:sz w:val="21"/>
                <w:szCs w:val="21"/>
              </w:rPr>
              <w:t>项目建立</w:t>
            </w:r>
          </w:p>
        </w:tc>
        <w:tc>
          <w:tcPr>
            <w:tcW w:w="1139" w:type="pct"/>
            <w:gridSpan w:val="3"/>
            <w:noWrap/>
            <w:vAlign w:val="center"/>
          </w:tcPr>
          <w:p>
            <w:pPr>
              <w:pStyle w:val="22"/>
              <w:rPr>
                <w:rFonts w:ascii="宋体" w:hAnsi="宋体" w:cs="宋体"/>
                <w:color w:val="auto"/>
                <w:sz w:val="21"/>
                <w:szCs w:val="21"/>
              </w:rPr>
            </w:pPr>
            <w:r>
              <w:rPr>
                <w:rFonts w:hint="eastAsia" w:ascii="宋体" w:hAnsi="宋体" w:cs="宋体"/>
                <w:color w:val="auto"/>
                <w:sz w:val="21"/>
                <w:szCs w:val="21"/>
              </w:rPr>
              <w:t>现场检测</w:t>
            </w:r>
          </w:p>
        </w:tc>
        <w:tc>
          <w:tcPr>
            <w:tcW w:w="2316" w:type="pct"/>
            <w:gridSpan w:val="4"/>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vMerge w:val="continue"/>
            <w:noWrap/>
            <w:vAlign w:val="center"/>
          </w:tcPr>
          <w:p>
            <w:pPr>
              <w:pStyle w:val="22"/>
              <w:rPr>
                <w:rFonts w:ascii="宋体" w:hAnsi="宋体" w:cs="宋体"/>
                <w:color w:val="auto"/>
                <w:sz w:val="21"/>
                <w:szCs w:val="21"/>
              </w:rPr>
            </w:pPr>
          </w:p>
        </w:tc>
        <w:tc>
          <w:tcPr>
            <w:tcW w:w="432" w:type="pct"/>
            <w:noWrap/>
            <w:vAlign w:val="center"/>
          </w:tcPr>
          <w:p>
            <w:pPr>
              <w:pStyle w:val="22"/>
              <w:rPr>
                <w:rFonts w:ascii="宋体" w:hAnsi="宋体" w:cs="宋体"/>
                <w:color w:val="auto"/>
                <w:sz w:val="21"/>
                <w:szCs w:val="21"/>
              </w:rPr>
            </w:pPr>
            <w:r>
              <w:rPr>
                <w:rFonts w:hint="eastAsia" w:ascii="宋体" w:hAnsi="宋体" w:cs="宋体"/>
                <w:color w:val="auto"/>
                <w:sz w:val="21"/>
                <w:szCs w:val="21"/>
              </w:rPr>
              <w:t>受控密封点</w:t>
            </w:r>
          </w:p>
        </w:tc>
        <w:tc>
          <w:tcPr>
            <w:tcW w:w="490"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不可达点数</w:t>
            </w:r>
          </w:p>
        </w:tc>
        <w:tc>
          <w:tcPr>
            <w:tcW w:w="392" w:type="pct"/>
            <w:noWrap/>
            <w:vAlign w:val="center"/>
          </w:tcPr>
          <w:p>
            <w:pPr>
              <w:pStyle w:val="22"/>
              <w:rPr>
                <w:rFonts w:ascii="宋体" w:hAnsi="宋体" w:cs="宋体"/>
                <w:color w:val="auto"/>
                <w:sz w:val="21"/>
                <w:szCs w:val="21"/>
              </w:rPr>
            </w:pPr>
            <w:r>
              <w:rPr>
                <w:rFonts w:hint="eastAsia" w:ascii="宋体" w:hAnsi="宋体" w:cs="宋体"/>
                <w:color w:val="auto"/>
                <w:sz w:val="21"/>
                <w:szCs w:val="21"/>
              </w:rPr>
              <w:t>检测点数</w:t>
            </w:r>
          </w:p>
        </w:tc>
        <w:tc>
          <w:tcPr>
            <w:tcW w:w="374" w:type="pct"/>
            <w:noWrap/>
            <w:vAlign w:val="center"/>
          </w:tcPr>
          <w:p>
            <w:pPr>
              <w:pStyle w:val="22"/>
              <w:rPr>
                <w:rFonts w:ascii="宋体" w:hAnsi="宋体" w:cs="宋体"/>
                <w:color w:val="auto"/>
                <w:sz w:val="21"/>
                <w:szCs w:val="21"/>
              </w:rPr>
            </w:pPr>
            <w:r>
              <w:rPr>
                <w:rFonts w:hint="eastAsia" w:ascii="宋体" w:hAnsi="宋体" w:cs="宋体"/>
                <w:color w:val="auto"/>
                <w:sz w:val="21"/>
                <w:szCs w:val="21"/>
              </w:rPr>
              <w:t>泄漏点数</w:t>
            </w:r>
          </w:p>
        </w:tc>
        <w:tc>
          <w:tcPr>
            <w:tcW w:w="372"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严重泄漏点数</w:t>
            </w:r>
          </w:p>
        </w:tc>
        <w:tc>
          <w:tcPr>
            <w:tcW w:w="5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5日内首次维修修复密封点数</w:t>
            </w:r>
          </w:p>
        </w:tc>
        <w:tc>
          <w:tcPr>
            <w:tcW w:w="517" w:type="pct"/>
            <w:noWrap/>
            <w:vAlign w:val="center"/>
          </w:tcPr>
          <w:p>
            <w:pPr>
              <w:pStyle w:val="22"/>
              <w:jc w:val="center"/>
              <w:rPr>
                <w:rFonts w:ascii="宋体" w:hAnsi="宋体" w:cs="宋体"/>
                <w:color w:val="auto"/>
                <w:sz w:val="21"/>
                <w:szCs w:val="21"/>
              </w:rPr>
            </w:pPr>
            <w:r>
              <w:rPr>
                <w:rFonts w:hint="eastAsia" w:ascii="宋体" w:hAnsi="宋体" w:cs="宋体"/>
                <w:color w:val="auto"/>
                <w:sz w:val="21"/>
                <w:szCs w:val="21"/>
              </w:rPr>
              <w:t>15日内实质性维修修复</w:t>
            </w:r>
          </w:p>
          <w:p>
            <w:pPr>
              <w:pStyle w:val="22"/>
              <w:jc w:val="center"/>
              <w:rPr>
                <w:rFonts w:ascii="宋体" w:hAnsi="宋体" w:cs="宋体"/>
                <w:color w:val="auto"/>
                <w:sz w:val="21"/>
                <w:szCs w:val="21"/>
              </w:rPr>
            </w:pPr>
            <w:r>
              <w:rPr>
                <w:rFonts w:hint="eastAsia" w:ascii="宋体" w:hAnsi="宋体" w:cs="宋体"/>
                <w:color w:val="auto"/>
                <w:sz w:val="21"/>
                <w:szCs w:val="21"/>
              </w:rPr>
              <w:t>泄漏点数</w:t>
            </w:r>
          </w:p>
        </w:tc>
        <w:tc>
          <w:tcPr>
            <w:tcW w:w="432" w:type="pct"/>
            <w:noWrap/>
            <w:vAlign w:val="center"/>
          </w:tcPr>
          <w:p>
            <w:pPr>
              <w:pStyle w:val="22"/>
              <w:rPr>
                <w:rFonts w:ascii="宋体" w:hAnsi="宋体" w:cs="宋体"/>
                <w:color w:val="auto"/>
                <w:sz w:val="21"/>
                <w:szCs w:val="21"/>
              </w:rPr>
            </w:pPr>
            <w:r>
              <w:rPr>
                <w:rFonts w:hint="eastAsia" w:ascii="宋体" w:hAnsi="宋体" w:cs="宋体"/>
                <w:color w:val="auto"/>
                <w:sz w:val="21"/>
                <w:szCs w:val="21"/>
              </w:rPr>
              <w:t>至今</w:t>
            </w:r>
          </w:p>
          <w:p>
            <w:pPr>
              <w:pStyle w:val="22"/>
              <w:rPr>
                <w:rFonts w:ascii="宋体" w:hAnsi="宋体" w:cs="宋体"/>
                <w:color w:val="auto"/>
                <w:sz w:val="21"/>
                <w:szCs w:val="21"/>
              </w:rPr>
            </w:pPr>
            <w:r>
              <w:rPr>
                <w:rFonts w:hint="eastAsia" w:ascii="宋体" w:hAnsi="宋体" w:cs="宋体"/>
                <w:color w:val="auto"/>
                <w:sz w:val="21"/>
                <w:szCs w:val="21"/>
              </w:rPr>
              <w:t>修复泄漏点数</w:t>
            </w:r>
          </w:p>
        </w:tc>
        <w:tc>
          <w:tcPr>
            <w:tcW w:w="7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除已修复的泄漏点,</w:t>
            </w:r>
          </w:p>
          <w:p>
            <w:pPr>
              <w:pStyle w:val="22"/>
              <w:rPr>
                <w:rFonts w:ascii="宋体" w:hAnsi="宋体" w:cs="宋体"/>
                <w:color w:val="auto"/>
                <w:sz w:val="21"/>
                <w:szCs w:val="21"/>
              </w:rPr>
            </w:pPr>
            <w:r>
              <w:rPr>
                <w:rFonts w:hint="eastAsia" w:ascii="宋体" w:hAnsi="宋体" w:cs="宋体"/>
                <w:color w:val="auto"/>
                <w:sz w:val="21"/>
                <w:szCs w:val="21"/>
              </w:rPr>
              <w:t>6个月内计划</w:t>
            </w:r>
          </w:p>
          <w:p>
            <w:pPr>
              <w:pStyle w:val="22"/>
              <w:rPr>
                <w:rFonts w:ascii="宋体" w:hAnsi="宋体" w:cs="宋体"/>
                <w:color w:val="auto"/>
                <w:sz w:val="21"/>
                <w:szCs w:val="21"/>
              </w:rPr>
            </w:pPr>
            <w:r>
              <w:rPr>
                <w:rFonts w:hint="eastAsia" w:ascii="宋体" w:hAnsi="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泵</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搅拌器</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连接件</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泄压设备</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压缩机</w:t>
            </w:r>
          </w:p>
        </w:tc>
        <w:tc>
          <w:tcPr>
            <w:tcW w:w="43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90"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1"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43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490"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0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51"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212"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bl>
    <w:p>
      <w:pPr>
        <w:pStyle w:val="22"/>
        <w:jc w:val="both"/>
        <w:outlineLvl w:val="9"/>
        <w:rPr>
          <w:rFonts w:hint="eastAsia" w:ascii="宋体" w:hAnsi="宋体" w:eastAsia="宋体" w:cs="宋体"/>
          <w:color w:val="auto"/>
          <w:kern w:val="2"/>
          <w:sz w:val="21"/>
          <w:szCs w:val="22"/>
          <w:lang w:val="en-US" w:eastAsia="zh-CN" w:bidi="ar-SA"/>
        </w:rPr>
      </w:pPr>
      <w:bookmarkStart w:id="120" w:name="_Toc27412"/>
    </w:p>
    <w:p>
      <w:pPr>
        <w:pStyle w:val="22"/>
        <w:jc w:val="right"/>
        <w:outlineLvl w:val="9"/>
        <w:rPr>
          <w:rFonts w:hint="eastAsia" w:ascii="宋体" w:hAnsi="宋体" w:cs="宋体"/>
          <w:color w:val="auto"/>
          <w:kern w:val="2"/>
          <w:sz w:val="21"/>
          <w:szCs w:val="22"/>
          <w:lang w:val="en-US" w:eastAsia="zh-CN" w:bidi="ar-SA"/>
        </w:rPr>
      </w:pPr>
    </w:p>
    <w:p>
      <w:pPr>
        <w:pStyle w:val="22"/>
        <w:jc w:val="right"/>
        <w:outlineLvl w:val="9"/>
        <w:rPr>
          <w:rFonts w:hint="eastAsia" w:ascii="宋体" w:hAnsi="宋体" w:eastAsia="宋体" w:cs="宋体"/>
          <w:color w:val="auto"/>
          <w:kern w:val="2"/>
          <w:sz w:val="21"/>
          <w:szCs w:val="22"/>
          <w:lang w:val="en-US" w:eastAsia="zh-CN" w:bidi="ar-SA"/>
        </w:rPr>
      </w:pPr>
      <w:r>
        <w:rPr>
          <w:rFonts w:hint="eastAsia" w:ascii="宋体" w:hAnsi="宋体" w:cs="宋体"/>
          <w:color w:val="auto"/>
          <w:kern w:val="2"/>
          <w:sz w:val="21"/>
          <w:szCs w:val="22"/>
          <w:lang w:val="en-US" w:eastAsia="zh-CN" w:bidi="ar-SA"/>
        </w:rPr>
        <w:t>填表日期：2023年04月03日</w:t>
      </w:r>
    </w:p>
    <w:tbl>
      <w:tblPr>
        <w:tblStyle w:val="12"/>
        <w:tblW w:w="493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739"/>
        <w:gridCol w:w="1351"/>
        <w:gridCol w:w="1300"/>
        <w:gridCol w:w="1147"/>
        <w:gridCol w:w="1071"/>
        <w:gridCol w:w="1066"/>
        <w:gridCol w:w="1669"/>
        <w:gridCol w:w="1480"/>
        <w:gridCol w:w="1236"/>
        <w:gridCol w:w="2242"/>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装置名称</w:t>
            </w:r>
          </w:p>
        </w:tc>
        <w:tc>
          <w:tcPr>
            <w:tcW w:w="926"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储运装置</w:t>
            </w:r>
          </w:p>
        </w:tc>
        <w:tc>
          <w:tcPr>
            <w:tcW w:w="775" w:type="pct"/>
            <w:gridSpan w:val="2"/>
            <w:tcBorders>
              <w:top w:val="single" w:color="auto" w:sz="12" w:space="0"/>
            </w:tcBorders>
            <w:noWrap/>
            <w:vAlign w:val="center"/>
          </w:tcPr>
          <w:p>
            <w:pPr>
              <w:pStyle w:val="22"/>
              <w:rPr>
                <w:rFonts w:hint="eastAsia" w:ascii="宋体" w:hAnsi="宋体" w:cs="宋体"/>
                <w:color w:val="auto"/>
                <w:sz w:val="21"/>
                <w:szCs w:val="21"/>
              </w:rPr>
            </w:pPr>
            <w:r>
              <w:rPr>
                <w:rFonts w:hint="eastAsia" w:ascii="宋体" w:hAnsi="宋体" w:cs="宋体"/>
                <w:color w:val="auto"/>
                <w:sz w:val="21"/>
                <w:szCs w:val="21"/>
              </w:rPr>
              <w:t>装置编码</w:t>
            </w:r>
          </w:p>
        </w:tc>
        <w:tc>
          <w:tcPr>
            <w:tcW w:w="956"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XXXZG0</w:t>
            </w:r>
          </w:p>
        </w:tc>
        <w:tc>
          <w:tcPr>
            <w:tcW w:w="517" w:type="pct"/>
            <w:tcBorders>
              <w:top w:val="single" w:color="auto" w:sz="12" w:space="0"/>
            </w:tcBorders>
            <w:noWrap/>
            <w:vAlign w:val="center"/>
          </w:tcPr>
          <w:p>
            <w:pPr>
              <w:pStyle w:val="22"/>
              <w:rPr>
                <w:rFonts w:ascii="宋体" w:hAnsi="宋体" w:cs="宋体"/>
                <w:color w:val="auto"/>
                <w:sz w:val="21"/>
                <w:szCs w:val="21"/>
              </w:rPr>
            </w:pPr>
            <w:r>
              <w:rPr>
                <w:rFonts w:hint="eastAsia" w:ascii="宋体" w:hAnsi="宋体" w:cs="宋体"/>
                <w:color w:val="auto"/>
                <w:sz w:val="21"/>
                <w:szCs w:val="21"/>
              </w:rPr>
              <w:t>年加工/生产能力</w:t>
            </w:r>
          </w:p>
        </w:tc>
        <w:tc>
          <w:tcPr>
            <w:tcW w:w="1215" w:type="pct"/>
            <w:gridSpan w:val="2"/>
            <w:tcBorders>
              <w:top w:val="single" w:color="auto" w:sz="12" w:space="0"/>
            </w:tcBorders>
            <w:noWrap/>
            <w:vAlign w:val="center"/>
          </w:tcPr>
          <w:p>
            <w:pPr>
              <w:pStyle w:val="22"/>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装置初次</w:t>
            </w:r>
          </w:p>
          <w:p>
            <w:pPr>
              <w:pStyle w:val="22"/>
              <w:rPr>
                <w:rFonts w:ascii="宋体" w:hAnsi="宋体" w:cs="宋体"/>
                <w:color w:val="auto"/>
                <w:sz w:val="21"/>
                <w:szCs w:val="21"/>
              </w:rPr>
            </w:pPr>
            <w:r>
              <w:rPr>
                <w:rFonts w:hint="eastAsia" w:ascii="宋体" w:hAnsi="宋体" w:cs="宋体"/>
                <w:color w:val="auto"/>
                <w:sz w:val="21"/>
                <w:szCs w:val="21"/>
              </w:rPr>
              <w:t>开工日期</w:t>
            </w:r>
          </w:p>
        </w:tc>
        <w:tc>
          <w:tcPr>
            <w:tcW w:w="472" w:type="pct"/>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454" w:type="pct"/>
            <w:noWrap/>
            <w:vAlign w:val="center"/>
          </w:tcPr>
          <w:p>
            <w:pPr>
              <w:pStyle w:val="22"/>
              <w:rPr>
                <w:rFonts w:ascii="宋体" w:hAnsi="宋体" w:cs="宋体"/>
                <w:color w:val="auto"/>
                <w:sz w:val="21"/>
                <w:szCs w:val="21"/>
              </w:rPr>
            </w:pPr>
            <w:r>
              <w:rPr>
                <w:rFonts w:hint="eastAsia" w:ascii="宋体" w:hAnsi="宋体" w:cs="宋体"/>
                <w:color w:val="auto"/>
                <w:sz w:val="21"/>
                <w:szCs w:val="21"/>
              </w:rPr>
              <w:t>装置上次停车检修日期</w:t>
            </w:r>
          </w:p>
        </w:tc>
        <w:tc>
          <w:tcPr>
            <w:tcW w:w="1731" w:type="pct"/>
            <w:gridSpan w:val="4"/>
            <w:noWrap/>
            <w:vAlign w:val="center"/>
          </w:tcPr>
          <w:p>
            <w:pPr>
              <w:pStyle w:val="22"/>
              <w:rPr>
                <w:rFonts w:ascii="宋体" w:hAnsi="宋体" w:cs="宋体"/>
                <w:color w:val="auto"/>
                <w:sz w:val="21"/>
                <w:szCs w:val="21"/>
              </w:rPr>
            </w:pPr>
            <w:r>
              <w:rPr>
                <w:rFonts w:hint="eastAsia" w:ascii="宋体" w:hAnsi="宋体" w:cs="宋体"/>
                <w:color w:val="auto"/>
                <w:szCs w:val="18"/>
              </w:rPr>
              <w:t>/</w:t>
            </w:r>
          </w:p>
        </w:tc>
        <w:tc>
          <w:tcPr>
            <w:tcW w:w="517" w:type="pct"/>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装置下次停车检修日期</w:t>
            </w:r>
          </w:p>
        </w:tc>
        <w:tc>
          <w:tcPr>
            <w:tcW w:w="1215" w:type="pct"/>
            <w:gridSpan w:val="2"/>
            <w:noWrap/>
            <w:vAlign w:val="center"/>
          </w:tcPr>
          <w:p>
            <w:pPr>
              <w:pStyle w:val="22"/>
              <w:rPr>
                <w:rFonts w:ascii="宋体" w:hAnsi="宋体" w:cs="宋体"/>
                <w:color w:val="auto"/>
                <w:sz w:val="21"/>
                <w:szCs w:val="21"/>
              </w:rPr>
            </w:pPr>
            <w:r>
              <w:rPr>
                <w:rFonts w:hint="eastAsia" w:ascii="宋体" w:hAnsi="宋体" w:cs="宋体"/>
                <w:color w:val="auto"/>
                <w:szCs w:val="18"/>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vMerge w:val="restart"/>
            <w:noWrap/>
            <w:vAlign w:val="center"/>
          </w:tcPr>
          <w:p>
            <w:pPr>
              <w:pStyle w:val="22"/>
              <w:rPr>
                <w:rFonts w:ascii="宋体" w:hAnsi="宋体" w:cs="宋体"/>
                <w:color w:val="auto"/>
                <w:sz w:val="21"/>
                <w:szCs w:val="21"/>
              </w:rPr>
            </w:pPr>
            <w:r>
              <w:rPr>
                <w:rFonts w:hint="eastAsia" w:ascii="宋体" w:hAnsi="宋体" w:cs="宋体"/>
                <w:color w:val="auto"/>
                <w:sz w:val="21"/>
                <w:szCs w:val="21"/>
              </w:rPr>
              <w:t>密封点类别</w:t>
            </w:r>
          </w:p>
        </w:tc>
        <w:tc>
          <w:tcPr>
            <w:tcW w:w="926" w:type="pct"/>
            <w:gridSpan w:val="2"/>
            <w:noWrap/>
            <w:vAlign w:val="center"/>
          </w:tcPr>
          <w:p>
            <w:pPr>
              <w:pStyle w:val="22"/>
              <w:rPr>
                <w:rFonts w:ascii="宋体" w:hAnsi="宋体" w:cs="宋体"/>
                <w:color w:val="auto"/>
                <w:sz w:val="21"/>
                <w:szCs w:val="21"/>
              </w:rPr>
            </w:pPr>
            <w:r>
              <w:rPr>
                <w:rFonts w:hint="eastAsia" w:ascii="宋体" w:hAnsi="宋体" w:cs="宋体"/>
                <w:color w:val="auto"/>
                <w:sz w:val="21"/>
                <w:szCs w:val="21"/>
              </w:rPr>
              <w:t>项目建立</w:t>
            </w:r>
          </w:p>
        </w:tc>
        <w:tc>
          <w:tcPr>
            <w:tcW w:w="1148" w:type="pct"/>
            <w:gridSpan w:val="3"/>
            <w:noWrap/>
            <w:vAlign w:val="center"/>
          </w:tcPr>
          <w:p>
            <w:pPr>
              <w:pStyle w:val="22"/>
              <w:rPr>
                <w:rFonts w:ascii="宋体" w:hAnsi="宋体" w:cs="宋体"/>
                <w:color w:val="auto"/>
                <w:sz w:val="21"/>
                <w:szCs w:val="21"/>
              </w:rPr>
            </w:pPr>
            <w:r>
              <w:rPr>
                <w:rFonts w:hint="eastAsia" w:ascii="宋体" w:hAnsi="宋体" w:cs="宋体"/>
                <w:color w:val="auto"/>
                <w:sz w:val="21"/>
                <w:szCs w:val="21"/>
              </w:rPr>
              <w:t>现场检测</w:t>
            </w:r>
          </w:p>
        </w:tc>
        <w:tc>
          <w:tcPr>
            <w:tcW w:w="2316" w:type="pct"/>
            <w:gridSpan w:val="4"/>
            <w:noWrap/>
            <w:vAlign w:val="center"/>
          </w:tcPr>
          <w:p>
            <w:pPr>
              <w:pStyle w:val="22"/>
              <w:rPr>
                <w:rFonts w:ascii="宋体" w:hAnsi="宋体" w:cs="宋体"/>
                <w:color w:val="auto"/>
                <w:kern w:val="16"/>
                <w:sz w:val="21"/>
                <w:szCs w:val="21"/>
              </w:rPr>
            </w:pPr>
            <w:r>
              <w:rPr>
                <w:rFonts w:hint="eastAsia" w:ascii="宋体" w:hAnsi="宋体" w:cs="宋体"/>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vMerge w:val="continue"/>
            <w:noWrap/>
            <w:vAlign w:val="center"/>
          </w:tcPr>
          <w:p>
            <w:pPr>
              <w:pStyle w:val="22"/>
              <w:rPr>
                <w:rFonts w:ascii="宋体" w:hAnsi="宋体" w:cs="宋体"/>
                <w:color w:val="auto"/>
                <w:sz w:val="21"/>
                <w:szCs w:val="21"/>
              </w:rPr>
            </w:pPr>
          </w:p>
        </w:tc>
        <w:tc>
          <w:tcPr>
            <w:tcW w:w="472" w:type="pct"/>
            <w:noWrap/>
            <w:vAlign w:val="center"/>
          </w:tcPr>
          <w:p>
            <w:pPr>
              <w:pStyle w:val="22"/>
              <w:rPr>
                <w:rFonts w:ascii="宋体" w:hAnsi="宋体" w:cs="宋体"/>
                <w:color w:val="auto"/>
                <w:sz w:val="21"/>
                <w:szCs w:val="21"/>
              </w:rPr>
            </w:pPr>
            <w:r>
              <w:rPr>
                <w:rFonts w:hint="eastAsia" w:ascii="宋体" w:hAnsi="宋体" w:cs="宋体"/>
                <w:color w:val="auto"/>
                <w:sz w:val="21"/>
                <w:szCs w:val="21"/>
              </w:rPr>
              <w:t>受控密封点</w:t>
            </w:r>
          </w:p>
        </w:tc>
        <w:tc>
          <w:tcPr>
            <w:tcW w:w="454"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不可达点数</w:t>
            </w:r>
          </w:p>
        </w:tc>
        <w:tc>
          <w:tcPr>
            <w:tcW w:w="401" w:type="pct"/>
            <w:noWrap/>
            <w:vAlign w:val="center"/>
          </w:tcPr>
          <w:p>
            <w:pPr>
              <w:pStyle w:val="22"/>
              <w:rPr>
                <w:rFonts w:ascii="宋体" w:hAnsi="宋体" w:cs="宋体"/>
                <w:color w:val="auto"/>
                <w:sz w:val="21"/>
                <w:szCs w:val="21"/>
              </w:rPr>
            </w:pPr>
            <w:r>
              <w:rPr>
                <w:rFonts w:hint="eastAsia" w:ascii="宋体" w:hAnsi="宋体" w:cs="宋体"/>
                <w:color w:val="auto"/>
                <w:sz w:val="21"/>
                <w:szCs w:val="21"/>
              </w:rPr>
              <w:t>检测点数</w:t>
            </w:r>
          </w:p>
        </w:tc>
        <w:tc>
          <w:tcPr>
            <w:tcW w:w="374" w:type="pct"/>
            <w:noWrap/>
            <w:vAlign w:val="center"/>
          </w:tcPr>
          <w:p>
            <w:pPr>
              <w:pStyle w:val="22"/>
              <w:rPr>
                <w:rFonts w:ascii="宋体" w:hAnsi="宋体" w:cs="宋体"/>
                <w:color w:val="auto"/>
                <w:sz w:val="21"/>
                <w:szCs w:val="21"/>
              </w:rPr>
            </w:pPr>
            <w:r>
              <w:rPr>
                <w:rFonts w:hint="eastAsia" w:ascii="宋体" w:hAnsi="宋体" w:cs="宋体"/>
                <w:color w:val="auto"/>
                <w:sz w:val="21"/>
                <w:szCs w:val="21"/>
              </w:rPr>
              <w:t>泄漏点数</w:t>
            </w:r>
          </w:p>
        </w:tc>
        <w:tc>
          <w:tcPr>
            <w:tcW w:w="372" w:type="pct"/>
            <w:noWrap/>
            <w:vAlign w:val="center"/>
          </w:tcPr>
          <w:p>
            <w:pPr>
              <w:pStyle w:val="22"/>
              <w:rPr>
                <w:rFonts w:ascii="宋体" w:hAnsi="宋体" w:cs="宋体"/>
                <w:color w:val="auto"/>
                <w:sz w:val="21"/>
                <w:szCs w:val="21"/>
              </w:rPr>
            </w:pPr>
            <w:r>
              <w:rPr>
                <w:rFonts w:hint="eastAsia" w:ascii="宋体" w:hAnsi="宋体" w:cs="宋体"/>
                <w:color w:val="auto"/>
                <w:sz w:val="21"/>
                <w:szCs w:val="21"/>
              </w:rPr>
              <w:t>严重泄漏点数</w:t>
            </w:r>
          </w:p>
        </w:tc>
        <w:tc>
          <w:tcPr>
            <w:tcW w:w="5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5日内首次维修修复密封点数</w:t>
            </w:r>
          </w:p>
        </w:tc>
        <w:tc>
          <w:tcPr>
            <w:tcW w:w="517" w:type="pct"/>
            <w:noWrap/>
            <w:vAlign w:val="center"/>
          </w:tcPr>
          <w:p>
            <w:pPr>
              <w:pStyle w:val="22"/>
              <w:jc w:val="center"/>
              <w:rPr>
                <w:rFonts w:ascii="宋体" w:hAnsi="宋体" w:cs="宋体"/>
                <w:color w:val="auto"/>
                <w:sz w:val="21"/>
                <w:szCs w:val="21"/>
              </w:rPr>
            </w:pPr>
            <w:r>
              <w:rPr>
                <w:rFonts w:hint="eastAsia" w:ascii="宋体" w:hAnsi="宋体" w:cs="宋体"/>
                <w:color w:val="auto"/>
                <w:sz w:val="21"/>
                <w:szCs w:val="21"/>
              </w:rPr>
              <w:t>15日内实质性维修修复</w:t>
            </w:r>
          </w:p>
          <w:p>
            <w:pPr>
              <w:pStyle w:val="22"/>
              <w:jc w:val="center"/>
              <w:rPr>
                <w:rFonts w:ascii="宋体" w:hAnsi="宋体" w:cs="宋体"/>
                <w:color w:val="auto"/>
                <w:sz w:val="21"/>
                <w:szCs w:val="21"/>
              </w:rPr>
            </w:pPr>
            <w:r>
              <w:rPr>
                <w:rFonts w:hint="eastAsia" w:ascii="宋体" w:hAnsi="宋体" w:cs="宋体"/>
                <w:color w:val="auto"/>
                <w:sz w:val="21"/>
                <w:szCs w:val="21"/>
              </w:rPr>
              <w:t>泄漏点数</w:t>
            </w:r>
          </w:p>
        </w:tc>
        <w:tc>
          <w:tcPr>
            <w:tcW w:w="432" w:type="pct"/>
            <w:noWrap/>
            <w:vAlign w:val="center"/>
          </w:tcPr>
          <w:p>
            <w:pPr>
              <w:pStyle w:val="22"/>
              <w:rPr>
                <w:rFonts w:ascii="宋体" w:hAnsi="宋体" w:cs="宋体"/>
                <w:color w:val="auto"/>
                <w:sz w:val="21"/>
                <w:szCs w:val="21"/>
              </w:rPr>
            </w:pPr>
            <w:r>
              <w:rPr>
                <w:rFonts w:hint="eastAsia" w:ascii="宋体" w:hAnsi="宋体" w:cs="宋体"/>
                <w:color w:val="auto"/>
                <w:sz w:val="21"/>
                <w:szCs w:val="21"/>
              </w:rPr>
              <w:t>至今</w:t>
            </w:r>
          </w:p>
          <w:p>
            <w:pPr>
              <w:pStyle w:val="22"/>
              <w:rPr>
                <w:rFonts w:ascii="宋体" w:hAnsi="宋体" w:cs="宋体"/>
                <w:color w:val="auto"/>
                <w:sz w:val="21"/>
                <w:szCs w:val="21"/>
              </w:rPr>
            </w:pPr>
            <w:r>
              <w:rPr>
                <w:rFonts w:hint="eastAsia" w:ascii="宋体" w:hAnsi="宋体" w:cs="宋体"/>
                <w:color w:val="auto"/>
                <w:sz w:val="21"/>
                <w:szCs w:val="21"/>
              </w:rPr>
              <w:t>修复泄漏点数</w:t>
            </w:r>
          </w:p>
        </w:tc>
        <w:tc>
          <w:tcPr>
            <w:tcW w:w="783" w:type="pct"/>
            <w:noWrap/>
            <w:vAlign w:val="center"/>
          </w:tcPr>
          <w:p>
            <w:pPr>
              <w:pStyle w:val="22"/>
              <w:rPr>
                <w:rFonts w:ascii="宋体" w:hAnsi="宋体" w:cs="宋体"/>
                <w:color w:val="auto"/>
                <w:sz w:val="21"/>
                <w:szCs w:val="21"/>
              </w:rPr>
            </w:pPr>
            <w:r>
              <w:rPr>
                <w:rFonts w:hint="eastAsia" w:ascii="宋体" w:hAnsi="宋体" w:cs="宋体"/>
                <w:color w:val="auto"/>
                <w:sz w:val="21"/>
                <w:szCs w:val="21"/>
              </w:rPr>
              <w:t>除已修复的泄漏点,</w:t>
            </w:r>
          </w:p>
          <w:p>
            <w:pPr>
              <w:pStyle w:val="22"/>
              <w:rPr>
                <w:rFonts w:ascii="宋体" w:hAnsi="宋体" w:cs="宋体"/>
                <w:color w:val="auto"/>
                <w:sz w:val="21"/>
                <w:szCs w:val="21"/>
              </w:rPr>
            </w:pPr>
            <w:r>
              <w:rPr>
                <w:rFonts w:hint="eastAsia" w:ascii="宋体" w:hAnsi="宋体" w:cs="宋体"/>
                <w:color w:val="auto"/>
                <w:sz w:val="21"/>
                <w:szCs w:val="21"/>
              </w:rPr>
              <w:t>6个月内计划</w:t>
            </w:r>
          </w:p>
          <w:p>
            <w:pPr>
              <w:pStyle w:val="22"/>
              <w:rPr>
                <w:rFonts w:ascii="宋体" w:hAnsi="宋体" w:cs="宋体"/>
                <w:color w:val="auto"/>
                <w:sz w:val="21"/>
                <w:szCs w:val="21"/>
              </w:rPr>
            </w:pPr>
            <w:r>
              <w:rPr>
                <w:rFonts w:hint="eastAsia" w:ascii="宋体" w:hAnsi="宋体" w:cs="宋体"/>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泵</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阀门</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搅拌器</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开口阀或开口管线</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泄压设备</w:t>
            </w:r>
          </w:p>
        </w:tc>
        <w:tc>
          <w:tcPr>
            <w:tcW w:w="4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压缩机</w:t>
            </w:r>
          </w:p>
        </w:tc>
        <w:tc>
          <w:tcPr>
            <w:tcW w:w="4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54"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72"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07" w:type="pct"/>
            <w:noWrap/>
            <w:vAlign w:val="center"/>
          </w:tcPr>
          <w:p>
            <w:pPr>
              <w:pStyle w:val="25"/>
              <w:ind w:firstLine="0" w:firstLineChars="0"/>
              <w:rPr>
                <w:rFonts w:hint="eastAsia" w:ascii="宋体" w:hAnsi="宋体" w:eastAsia="宋体" w:cs="宋体"/>
                <w:color w:val="auto"/>
                <w:sz w:val="21"/>
                <w:szCs w:val="21"/>
                <w:lang w:val="en-US" w:eastAsia="zh-CN"/>
              </w:rPr>
            </w:pPr>
            <w:r>
              <w:rPr>
                <w:rFonts w:hint="eastAsia"/>
                <w:color w:val="auto"/>
              </w:rPr>
              <w:t>合计</w:t>
            </w:r>
          </w:p>
        </w:tc>
        <w:tc>
          <w:tcPr>
            <w:tcW w:w="4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w:t>
            </w:r>
          </w:p>
        </w:tc>
        <w:tc>
          <w:tcPr>
            <w:tcW w:w="45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47"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w:t>
            </w:r>
          </w:p>
        </w:tc>
        <w:tc>
          <w:tcPr>
            <w:tcW w:w="374"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72"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583" w:type="pct"/>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8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236"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83" w:type="pct"/>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r>
    </w:tbl>
    <w:p>
      <w:pPr>
        <w:pStyle w:val="4"/>
        <w:numPr>
          <w:ilvl w:val="1"/>
          <w:numId w:val="0"/>
        </w:numPr>
        <w:bidi w:val="0"/>
        <w:jc w:val="both"/>
        <w:rPr>
          <w:rFonts w:hint="eastAsia"/>
          <w:lang w:val="en-US" w:eastAsia="zh-CN"/>
        </w:rPr>
        <w:sectPr>
          <w:pgSz w:w="16838" w:h="11906" w:orient="landscape"/>
          <w:pgMar w:top="1134" w:right="1418"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4"/>
        <w:numPr>
          <w:ilvl w:val="1"/>
          <w:numId w:val="0"/>
        </w:numPr>
        <w:bidi w:val="0"/>
        <w:ind w:firstLine="3793" w:firstLineChars="1400"/>
        <w:jc w:val="both"/>
        <w:rPr>
          <w:rFonts w:hint="eastAsia"/>
          <w:lang w:val="en-US" w:eastAsia="zh-CN"/>
        </w:rPr>
      </w:pPr>
      <w:bookmarkStart w:id="121" w:name="_Toc5734"/>
      <w:r>
        <w:rPr>
          <w:rFonts w:hint="eastAsia"/>
          <w:lang w:val="en-US" w:eastAsia="zh-CN"/>
        </w:rPr>
        <w:t xml:space="preserve">6.2 </w:t>
      </w:r>
      <w:r>
        <w:rPr>
          <w:rFonts w:hint="eastAsia" w:ascii="宋体" w:hAnsi="宋体" w:cs="宋体"/>
          <w:b/>
          <w:bCs/>
          <w:lang w:val="en-US" w:eastAsia="zh-CN"/>
        </w:rPr>
        <w:t>山东华油万达化学有限公司</w:t>
      </w:r>
      <w:r>
        <w:rPr>
          <w:rFonts w:hint="eastAsia"/>
          <w:lang w:val="en-US" w:eastAsia="zh-CN"/>
        </w:rPr>
        <w:t>2023年LDAR普查表</w:t>
      </w:r>
      <w:bookmarkEnd w:id="121"/>
    </w:p>
    <w:p>
      <w:pPr>
        <w:jc w:val="right"/>
        <w:rPr>
          <w:rFonts w:hint="eastAsia"/>
          <w:lang w:val="en-US" w:eastAsia="zh-CN"/>
        </w:rPr>
      </w:pPr>
      <w:r>
        <w:rPr>
          <w:rFonts w:hint="eastAsia" w:ascii="宋体" w:hAnsi="宋体" w:eastAsia="宋体" w:cs="宋体"/>
          <w:color w:val="000000"/>
          <w:kern w:val="2"/>
          <w:sz w:val="21"/>
          <w:szCs w:val="21"/>
          <w:lang w:val="en-US" w:eastAsia="zh-CN" w:bidi="ar-SA"/>
        </w:rPr>
        <w:t>填表日期：</w:t>
      </w:r>
      <w:r>
        <w:rPr>
          <w:rFonts w:hint="eastAsia" w:ascii="宋体" w:hAnsi="宋体" w:cs="宋体"/>
          <w:color w:val="000000"/>
          <w:kern w:val="2"/>
          <w:sz w:val="21"/>
          <w:szCs w:val="21"/>
          <w:lang w:val="en-US" w:eastAsia="zh-CN" w:bidi="ar-SA"/>
        </w:rPr>
        <w:t>2023年04月03日</w:t>
      </w:r>
    </w:p>
    <w:tbl>
      <w:tblPr>
        <w:tblStyle w:val="12"/>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1056"/>
        <w:gridCol w:w="1206"/>
        <w:gridCol w:w="1368"/>
        <w:gridCol w:w="1614"/>
        <w:gridCol w:w="1339"/>
        <w:gridCol w:w="1342"/>
        <w:gridCol w:w="1556"/>
        <w:gridCol w:w="1343"/>
        <w:gridCol w:w="17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9" w:type="pct"/>
            <w:vMerge w:val="restar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基本信息</w:t>
            </w: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企业名称</w:t>
            </w:r>
          </w:p>
        </w:tc>
        <w:tc>
          <w:tcPr>
            <w:tcW w:w="3094" w:type="pct"/>
            <w:gridSpan w:val="6"/>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LDAR主管部门</w:t>
            </w:r>
          </w:p>
        </w:tc>
        <w:tc>
          <w:tcPr>
            <w:tcW w:w="3094" w:type="pct"/>
            <w:gridSpan w:val="6"/>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3094" w:type="pct"/>
            <w:gridSpan w:val="6"/>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郑经理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3094" w:type="pct"/>
            <w:gridSpan w:val="6"/>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18866638597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pct"/>
            <w:vMerge w:val="continue"/>
            <w:vAlign w:val="center"/>
          </w:tcPr>
          <w:p>
            <w:pPr>
              <w:pStyle w:val="22"/>
              <w:rPr>
                <w:rFonts w:hint="eastAsia" w:asciiTheme="minorEastAsia" w:hAnsiTheme="minorEastAsia" w:eastAsiaTheme="minorEastAsia" w:cstheme="minorEastAsia"/>
                <w:sz w:val="21"/>
                <w:szCs w:val="21"/>
              </w:rPr>
            </w:pPr>
          </w:p>
        </w:tc>
        <w:tc>
          <w:tcPr>
            <w:tcW w:w="1255" w:type="pct"/>
            <w:gridSpan w:val="3"/>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p>
        </w:tc>
        <w:tc>
          <w:tcPr>
            <w:tcW w:w="3094" w:type="pct"/>
            <w:gridSpan w:val="6"/>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9"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w:t>
            </w:r>
          </w:p>
        </w:tc>
        <w:tc>
          <w:tcPr>
            <w:tcW w:w="4350" w:type="pct"/>
            <w:gridSpan w:val="9"/>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7" w:type="pct"/>
            <w:gridSpan w:val="8"/>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检测统计</w:t>
            </w:r>
          </w:p>
        </w:tc>
        <w:tc>
          <w:tcPr>
            <w:tcW w:w="1072" w:type="pct"/>
            <w:gridSpan w:val="2"/>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49"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装置名称</w:t>
            </w:r>
          </w:p>
        </w:tc>
        <w:tc>
          <w:tcPr>
            <w:tcW w:w="365"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密封点</w:t>
            </w:r>
          </w:p>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417"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检测密</w:t>
            </w:r>
          </w:p>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封点次a</w:t>
            </w:r>
          </w:p>
        </w:tc>
        <w:tc>
          <w:tcPr>
            <w:tcW w:w="473"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w:t>
            </w:r>
          </w:p>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点次b</w:t>
            </w:r>
          </w:p>
        </w:tc>
        <w:tc>
          <w:tcPr>
            <w:tcW w:w="558"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严重泄漏点次c</w:t>
            </w:r>
          </w:p>
        </w:tc>
        <w:tc>
          <w:tcPr>
            <w:tcW w:w="463"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多次严重泄漏点d</w:t>
            </w:r>
          </w:p>
        </w:tc>
        <w:tc>
          <w:tcPr>
            <w:tcW w:w="464"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本年度平均泄漏率%</w:t>
            </w:r>
          </w:p>
        </w:tc>
        <w:tc>
          <w:tcPr>
            <w:tcW w:w="536"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本年度平均严重泄漏率%</w:t>
            </w:r>
          </w:p>
        </w:tc>
        <w:tc>
          <w:tcPr>
            <w:tcW w:w="464"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累计修复泄漏点</w:t>
            </w:r>
          </w:p>
        </w:tc>
        <w:tc>
          <w:tcPr>
            <w:tcW w:w="607" w:type="pct"/>
            <w:vAlign w:val="center"/>
          </w:tcPr>
          <w:p>
            <w:pPr>
              <w:pStyle w:val="2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9"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365"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417" w:type="pct"/>
            <w:vAlign w:val="center"/>
          </w:tcPr>
          <w:p>
            <w:pPr>
              <w:pStyle w:val="25"/>
              <w:ind w:firstLine="0" w:firstLineChars="0"/>
              <w:rPr>
                <w:rFonts w:hint="default" w:asciiTheme="minorEastAsia" w:hAnsiTheme="minorEastAsia" w:eastAsiaTheme="minorEastAsia" w:cstheme="minorEastAsia"/>
                <w:sz w:val="21"/>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185</w:t>
            </w:r>
          </w:p>
        </w:tc>
        <w:tc>
          <w:tcPr>
            <w:tcW w:w="473"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558"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3"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4"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0.16</w:t>
            </w:r>
          </w:p>
        </w:tc>
        <w:tc>
          <w:tcPr>
            <w:tcW w:w="536"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0.00</w:t>
            </w:r>
          </w:p>
        </w:tc>
        <w:tc>
          <w:tcPr>
            <w:tcW w:w="1343"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07"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9"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储运装置</w:t>
            </w:r>
          </w:p>
        </w:tc>
        <w:tc>
          <w:tcPr>
            <w:tcW w:w="365"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w:t>
            </w:r>
          </w:p>
        </w:tc>
        <w:tc>
          <w:tcPr>
            <w:tcW w:w="417" w:type="pct"/>
            <w:vAlign w:val="center"/>
          </w:tcPr>
          <w:p>
            <w:pPr>
              <w:pStyle w:val="25"/>
              <w:ind w:firstLine="0" w:firstLineChars="0"/>
              <w:rPr>
                <w:rFonts w:hint="default" w:asciiTheme="minorEastAsia" w:hAnsiTheme="minorEastAsia" w:eastAsiaTheme="minorEastAsia" w:cstheme="minorEastAsia"/>
                <w:sz w:val="21"/>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208</w:t>
            </w:r>
          </w:p>
        </w:tc>
        <w:tc>
          <w:tcPr>
            <w:tcW w:w="473"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558"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3"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342" w:type="dxa"/>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1.44</w:t>
            </w:r>
          </w:p>
        </w:tc>
        <w:tc>
          <w:tcPr>
            <w:tcW w:w="1556"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0.00</w:t>
            </w:r>
          </w:p>
        </w:tc>
        <w:tc>
          <w:tcPr>
            <w:tcW w:w="1343"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607"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9"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合计</w:t>
            </w:r>
          </w:p>
        </w:tc>
        <w:tc>
          <w:tcPr>
            <w:tcW w:w="365"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86</w:t>
            </w:r>
          </w:p>
        </w:tc>
        <w:tc>
          <w:tcPr>
            <w:tcW w:w="417" w:type="pct"/>
            <w:vAlign w:val="center"/>
          </w:tcPr>
          <w:p>
            <w:pPr>
              <w:pStyle w:val="25"/>
              <w:ind w:firstLine="0" w:firstLineChars="0"/>
              <w:rPr>
                <w:rFonts w:hint="default" w:asciiTheme="minorEastAsia" w:hAnsiTheme="minorEastAsia" w:eastAsiaTheme="minorEastAsia" w:cstheme="minorEastAsia"/>
                <w:sz w:val="21"/>
                <w:szCs w:val="21"/>
                <w:lang w:val="en-US" w:eastAsia="zh-CN"/>
              </w:rPr>
            </w:pPr>
            <w:r>
              <w:rPr>
                <w:rFonts w:hint="eastAsia" w:ascii="宋体" w:hAnsi="宋体" w:cs="宋体"/>
                <w:bCs/>
                <w:color w:val="000000" w:themeColor="text1"/>
                <w:sz w:val="21"/>
                <w:szCs w:val="21"/>
                <w:lang w:val="en-US" w:eastAsia="zh-CN"/>
                <w14:textFill>
                  <w14:solidFill>
                    <w14:schemeClr w14:val="tx1"/>
                  </w14:solidFill>
                </w14:textFill>
              </w:rPr>
              <w:t>391</w:t>
            </w:r>
          </w:p>
        </w:tc>
        <w:tc>
          <w:tcPr>
            <w:tcW w:w="473"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8"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3"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464"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1.53</w:t>
            </w:r>
          </w:p>
        </w:tc>
        <w:tc>
          <w:tcPr>
            <w:tcW w:w="536" w:type="pct"/>
            <w:vAlign w:val="center"/>
          </w:tcPr>
          <w:p>
            <w:pPr>
              <w:pStyle w:val="2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0.00</w:t>
            </w:r>
          </w:p>
        </w:tc>
        <w:tc>
          <w:tcPr>
            <w:tcW w:w="1343" w:type="dxa"/>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607" w:type="pct"/>
            <w:vAlign w:val="center"/>
          </w:tcPr>
          <w:p>
            <w:pPr>
              <w:pStyle w:val="2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5000" w:type="pct"/>
            <w:gridSpan w:val="10"/>
            <w:tcBorders>
              <w:top w:val="single" w:color="auto" w:sz="12" w:space="0"/>
              <w:bottom w:val="single" w:color="auto" w:sz="12" w:space="0"/>
            </w:tcBorders>
            <w:vAlign w:val="center"/>
          </w:tcPr>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a为某装置一年各次检测密封点总和；</w:t>
            </w:r>
          </w:p>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b为某装置一年各次检测发现泄漏点总和，未修复或归为延迟修复的泄漏点，应重复计算；</w:t>
            </w:r>
          </w:p>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c为某装置一年各次检测发现严重泄漏点总和，未修复或归为延迟修复的严重泄漏点，应重复计算；</w:t>
            </w:r>
          </w:p>
          <w:p>
            <w:pPr>
              <w:pStyle w:val="22"/>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d指泄漏点修复后，在本年度再次复发为严重泄漏点。</w:t>
            </w:r>
          </w:p>
        </w:tc>
      </w:tr>
    </w:tbl>
    <w:p>
      <w:pPr>
        <w:rPr>
          <w:rFonts w:hint="eastAsia"/>
          <w:lang w:val="en-US" w:eastAsia="zh-CN"/>
        </w:rPr>
        <w:sectPr>
          <w:pgSz w:w="16838" w:h="11906" w:orient="landscape"/>
          <w:pgMar w:top="1134" w:right="1418"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lang w:val="en-US" w:eastAsia="zh-CN"/>
        </w:rPr>
      </w:pPr>
      <w:bookmarkStart w:id="122" w:name="_Toc19782"/>
      <w:r>
        <w:rPr>
          <w:rFonts w:hint="eastAsia"/>
          <w:lang w:val="en-US" w:eastAsia="zh-CN"/>
        </w:rPr>
        <w:t>6.3  山东华油万达化学有限公司2023年泄漏点复检表</w:t>
      </w:r>
      <w:bookmarkEnd w:id="122"/>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1887"/>
        <w:gridCol w:w="1474"/>
        <w:gridCol w:w="1175"/>
        <w:gridCol w:w="1863"/>
        <w:gridCol w:w="1838"/>
        <w:gridCol w:w="1537"/>
        <w:gridCol w:w="1600"/>
        <w:gridCol w:w="1463"/>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80" w:hRule="atLeast"/>
          <w:tblHeader/>
          <w:jc w:val="center"/>
        </w:trPr>
        <w:tc>
          <w:tcPr>
            <w:tcW w:w="223"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634"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装置名称</w:t>
            </w:r>
          </w:p>
        </w:tc>
        <w:tc>
          <w:tcPr>
            <w:tcW w:w="495"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群组编码</w:t>
            </w:r>
          </w:p>
        </w:tc>
        <w:tc>
          <w:tcPr>
            <w:tcW w:w="395"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扩展编码</w:t>
            </w:r>
          </w:p>
        </w:tc>
        <w:tc>
          <w:tcPr>
            <w:tcW w:w="626" w:type="pct"/>
            <w:tcBorders>
              <w:tl2br w:val="nil"/>
              <w:tr2bl w:val="nil"/>
            </w:tcBorders>
            <w:shd w:val="clear" w:color="auto" w:fill="auto"/>
            <w:vAlign w:val="center"/>
          </w:tcPr>
          <w:p>
            <w:pPr>
              <w:widowControl/>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设备位号</w:t>
            </w:r>
          </w:p>
        </w:tc>
        <w:tc>
          <w:tcPr>
            <w:tcW w:w="618"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组件描述</w:t>
            </w:r>
          </w:p>
        </w:tc>
        <w:tc>
          <w:tcPr>
            <w:tcW w:w="517"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密封点</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类型</w:t>
            </w:r>
          </w:p>
        </w:tc>
        <w:tc>
          <w:tcPr>
            <w:tcW w:w="538"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复检</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前</w:t>
            </w:r>
            <w:r>
              <w:rPr>
                <w:rFonts w:hint="eastAsia" w:ascii="宋体" w:hAnsi="宋体" w:eastAsia="宋体" w:cs="宋体"/>
                <w:b/>
                <w:bCs/>
                <w:color w:val="000000" w:themeColor="text1"/>
                <w:kern w:val="0"/>
                <w:sz w:val="21"/>
                <w:szCs w:val="21"/>
                <w:highlight w:val="none"/>
                <w14:textFill>
                  <w14:solidFill>
                    <w14:schemeClr w14:val="tx1"/>
                  </w14:solidFill>
                </w14:textFill>
              </w:rPr>
              <w:t>结果</w:t>
            </w:r>
            <w:r>
              <w:rPr>
                <w:rFonts w:hint="eastAsia" w:ascii="宋体" w:hAnsi="宋体" w:eastAsia="宋体" w:cs="宋体"/>
                <w:b/>
                <w:color w:val="000000" w:themeColor="text1"/>
                <w:kern w:val="0"/>
                <w:sz w:val="21"/>
                <w:szCs w:val="21"/>
                <w:highlight w:val="none"/>
                <w14:textFill>
                  <w14:solidFill>
                    <w14:schemeClr w14:val="tx1"/>
                  </w14:solidFill>
                </w14:textFill>
              </w:rPr>
              <w:t>（µmol/mol）</w:t>
            </w:r>
          </w:p>
        </w:tc>
        <w:tc>
          <w:tcPr>
            <w:tcW w:w="492"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复检结果</w:t>
            </w:r>
            <w:r>
              <w:rPr>
                <w:rFonts w:hint="eastAsia" w:ascii="宋体" w:hAnsi="宋体" w:eastAsia="宋体" w:cs="宋体"/>
                <w:b/>
                <w:color w:val="000000" w:themeColor="text1"/>
                <w:kern w:val="0"/>
                <w:sz w:val="21"/>
                <w:szCs w:val="21"/>
                <w:highlight w:val="none"/>
                <w14:textFill>
                  <w14:solidFill>
                    <w14:schemeClr w14:val="tx1"/>
                  </w14:solidFill>
                </w14:textFill>
              </w:rPr>
              <w:t>（µmol/mol）</w:t>
            </w:r>
          </w:p>
        </w:tc>
        <w:tc>
          <w:tcPr>
            <w:tcW w:w="458" w:type="pct"/>
            <w:tcBorders>
              <w:tl2br w:val="nil"/>
              <w:tr2bl w:val="nil"/>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80" w:hRule="atLeast"/>
          <w:tblHeader/>
          <w:jc w:val="center"/>
        </w:trPr>
        <w:tc>
          <w:tcPr>
            <w:tcW w:w="223" w:type="pct"/>
            <w:tcBorders>
              <w:tl2br w:val="nil"/>
              <w:tr2bl w:val="nil"/>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p>
        </w:tc>
        <w:tc>
          <w:tcPr>
            <w:tcW w:w="1887"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PAM水合工序</w:t>
            </w:r>
          </w:p>
        </w:tc>
        <w:tc>
          <w:tcPr>
            <w:tcW w:w="1474"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XXPAM0-01-03-0034</w:t>
            </w:r>
          </w:p>
        </w:tc>
        <w:tc>
          <w:tcPr>
            <w:tcW w:w="1175"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03O</w:t>
            </w:r>
          </w:p>
        </w:tc>
        <w:tc>
          <w:tcPr>
            <w:tcW w:w="1863"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R0301A</w:t>
            </w:r>
          </w:p>
        </w:tc>
        <w:tc>
          <w:tcPr>
            <w:tcW w:w="618"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水合釜</w:t>
            </w:r>
          </w:p>
        </w:tc>
        <w:tc>
          <w:tcPr>
            <w:tcW w:w="1537"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开口阀或开口管线</w:t>
            </w:r>
          </w:p>
        </w:tc>
        <w:tc>
          <w:tcPr>
            <w:tcW w:w="1600"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864.9 </w:t>
            </w:r>
          </w:p>
        </w:tc>
        <w:tc>
          <w:tcPr>
            <w:tcW w:w="1463"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15.6 </w:t>
            </w:r>
          </w:p>
        </w:tc>
        <w:tc>
          <w:tcPr>
            <w:tcW w:w="458" w:type="pct"/>
            <w:tcBorders>
              <w:tl2br w:val="nil"/>
              <w:tr2bl w:val="nil"/>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z w:val="21"/>
                <w:szCs w:val="21"/>
              </w:rPr>
              <w:t>202</w:t>
            </w:r>
            <w:r>
              <w:rPr>
                <w:rFonts w:hint="eastAsia" w:ascii="宋体" w:hAnsi="宋体" w:eastAsia="宋体" w:cs="宋体"/>
                <w:sz w:val="21"/>
                <w:szCs w:val="21"/>
                <w:lang w:val="en-US" w:eastAsia="zh-CN"/>
              </w:rPr>
              <w:t>3-04-03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680" w:hRule="atLeast"/>
          <w:tblHeader/>
          <w:jc w:val="center"/>
        </w:trPr>
        <w:tc>
          <w:tcPr>
            <w:tcW w:w="223" w:type="pct"/>
            <w:tcBorders>
              <w:tl2br w:val="nil"/>
              <w:tr2bl w:val="nil"/>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w:t>
            </w:r>
          </w:p>
        </w:tc>
        <w:tc>
          <w:tcPr>
            <w:tcW w:w="1887"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储运装置</w:t>
            </w:r>
          </w:p>
        </w:tc>
        <w:tc>
          <w:tcPr>
            <w:tcW w:w="1474"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XXXZG0-02-01-0027</w:t>
            </w:r>
          </w:p>
        </w:tc>
        <w:tc>
          <w:tcPr>
            <w:tcW w:w="1175"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03O</w:t>
            </w:r>
          </w:p>
        </w:tc>
        <w:tc>
          <w:tcPr>
            <w:tcW w:w="1863"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R0301C</w:t>
            </w:r>
          </w:p>
        </w:tc>
        <w:tc>
          <w:tcPr>
            <w:tcW w:w="618" w:type="pct"/>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水合釜</w:t>
            </w:r>
          </w:p>
        </w:tc>
        <w:tc>
          <w:tcPr>
            <w:tcW w:w="1537"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开口阀或开口管线</w:t>
            </w:r>
          </w:p>
        </w:tc>
        <w:tc>
          <w:tcPr>
            <w:tcW w:w="1600"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914.7 </w:t>
            </w:r>
          </w:p>
        </w:tc>
        <w:tc>
          <w:tcPr>
            <w:tcW w:w="1463" w:type="dxa"/>
            <w:tcBorders>
              <w:tl2br w:val="nil"/>
              <w:tr2bl w:val="nil"/>
            </w:tcBorders>
            <w:shd w:val="clear" w:color="auto" w:fill="auto"/>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9.4 </w:t>
            </w:r>
          </w:p>
        </w:tc>
        <w:tc>
          <w:tcPr>
            <w:tcW w:w="458" w:type="pct"/>
            <w:tcBorders>
              <w:tl2br w:val="nil"/>
              <w:tr2bl w:val="nil"/>
            </w:tcBorders>
            <w:shd w:val="clear" w:color="auto" w:fill="auto"/>
            <w:vAlign w:val="center"/>
          </w:tcPr>
          <w:p>
            <w:pPr>
              <w:widowControl/>
              <w:jc w:val="cente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z w:val="21"/>
                <w:szCs w:val="21"/>
              </w:rPr>
              <w:t>202</w:t>
            </w:r>
            <w:r>
              <w:rPr>
                <w:rFonts w:hint="eastAsia" w:ascii="宋体" w:hAnsi="宋体" w:eastAsia="宋体" w:cs="宋体"/>
                <w:sz w:val="21"/>
                <w:szCs w:val="21"/>
                <w:lang w:val="en-US" w:eastAsia="zh-CN"/>
              </w:rPr>
              <w:t>3-04-03</w:t>
            </w:r>
          </w:p>
        </w:tc>
      </w:tr>
    </w:tbl>
    <w:p>
      <w:pPr>
        <w:rPr>
          <w:rFonts w:hint="default"/>
          <w:lang w:val="en-US" w:eastAsia="zh-CN"/>
        </w:rPr>
      </w:pPr>
    </w:p>
    <w:p>
      <w:pPr>
        <w:rPr>
          <w:rFonts w:hint="default"/>
          <w:lang w:val="en-US" w:eastAsia="zh-CN"/>
        </w:rPr>
      </w:pPr>
    </w:p>
    <w:p>
      <w:pPr>
        <w:pStyle w:val="2"/>
        <w:rPr>
          <w:rFonts w:hint="default"/>
          <w:lang w:val="en-US" w:eastAsia="zh-CN"/>
        </w:rPr>
      </w:pPr>
    </w:p>
    <w:p>
      <w:pPr>
        <w:pStyle w:val="2"/>
        <w:jc w:val="center"/>
        <w:rPr>
          <w:rFonts w:hint="default"/>
          <w:lang w:val="en-US" w:eastAsia="zh-CN"/>
        </w:rPr>
      </w:pPr>
      <w:r>
        <w:rPr>
          <w:rFonts w:hint="eastAsia"/>
          <w:lang w:val="en-US" w:eastAsia="zh-CN"/>
        </w:rPr>
        <w:t>****************************</w:t>
      </w:r>
      <w:r>
        <w:rPr>
          <w:rFonts w:hint="eastAsia"/>
          <w:b/>
          <w:bCs/>
          <w:lang w:val="en-US" w:eastAsia="zh-CN"/>
        </w:rPr>
        <w:t>本报告结束</w:t>
      </w:r>
      <w:r>
        <w:rPr>
          <w:rFonts w:hint="eastAsia"/>
          <w:lang w:val="en-US" w:eastAsia="zh-CN"/>
        </w:rPr>
        <w:t>****************************</w:t>
      </w:r>
    </w:p>
    <w:bookmarkEnd w:id="120"/>
    <w:p>
      <w:pPr>
        <w:pStyle w:val="2"/>
        <w:rPr>
          <w:rFonts w:hint="default"/>
          <w:lang w:val="en-US" w:eastAsia="zh-CN"/>
        </w:rPr>
      </w:pPr>
    </w:p>
    <w:sectPr>
      <w:headerReference r:id="rId10" w:type="default"/>
      <w:footerReference r:id="rId11" w:type="default"/>
      <w:pgSz w:w="16838" w:h="11906" w:orient="landscape"/>
      <w:pgMar w:top="1134" w:right="1134" w:bottom="1134" w:left="1134" w:header="567" w:footer="567" w:gutter="0"/>
      <w:pgBorders>
        <w:top w:val="none" w:sz="0" w:space="0"/>
        <w:left w:val="none" w:sz="0" w:space="0"/>
        <w:bottom w:val="single" w:color="auto" w:sz="4" w:space="1"/>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t xml:space="preserve">第 </w:t>
                          </w:r>
                          <w:r>
                            <w:fldChar w:fldCharType="begin"/>
                          </w:r>
                          <w:r>
                            <w:instrText xml:space="preserve"> PAGE  \* MERGEFORMAT </w:instrText>
                          </w:r>
                          <w:r>
                            <w:fldChar w:fldCharType="separate"/>
                          </w:r>
                          <w:r>
                            <w:t>3</w:t>
                          </w:r>
                          <w:r>
                            <w:fldChar w:fldCharType="end"/>
                          </w:r>
                          <w:r>
                            <w:t xml:space="preserve"> 页</w:t>
                          </w:r>
                          <w:r>
                            <w:rPr>
                              <w:rFonts w:hint="eastAsia"/>
                              <w:lang w:eastAsia="zh-CN"/>
                            </w:rPr>
                            <w:t xml:space="preserve"> 共 21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t xml:space="preserve">第 </w:t>
                    </w:r>
                    <w:r>
                      <w:fldChar w:fldCharType="begin"/>
                    </w:r>
                    <w:r>
                      <w:instrText xml:space="preserve"> PAGE  \* MERGEFORMAT </w:instrText>
                    </w:r>
                    <w:r>
                      <w:fldChar w:fldCharType="separate"/>
                    </w:r>
                    <w:r>
                      <w:t>3</w:t>
                    </w:r>
                    <w:r>
                      <w:fldChar w:fldCharType="end"/>
                    </w:r>
                    <w:r>
                      <w:t xml:space="preserve"> 页</w:t>
                    </w:r>
                    <w:r>
                      <w:rPr>
                        <w:rFonts w:hint="eastAsia"/>
                        <w:lang w:eastAsia="zh-CN"/>
                      </w:rPr>
                      <w:t xml:space="preserve"> 共 21 页</w:t>
                    </w:r>
                  </w:p>
                </w:txbxContent>
              </v:textbox>
            </v:shape>
          </w:pict>
        </mc:Fallback>
      </mc:AlternateContent>
    </w:r>
    <w:r>
      <w:rPr>
        <w:rFonts w:hint="eastAsia" w:ascii="宋体" w:hAnsi="宋体" w:eastAsia="宋体" w:cs="宋体"/>
        <w:lang w:eastAsia="zh-CN"/>
      </w:rPr>
      <w:t>地址：山东省东营市开发区运河路661号世誉建材广场1幢434号</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t xml:space="preserve">第 </w:t>
                          </w:r>
                          <w:r>
                            <w:fldChar w:fldCharType="begin"/>
                          </w:r>
                          <w:r>
                            <w:instrText xml:space="preserve"> PAGE  \* MERGEFORMAT </w:instrText>
                          </w:r>
                          <w:r>
                            <w:fldChar w:fldCharType="separate"/>
                          </w:r>
                          <w:r>
                            <w:t>3</w:t>
                          </w:r>
                          <w:r>
                            <w:fldChar w:fldCharType="end"/>
                          </w:r>
                          <w:r>
                            <w:t xml:space="preserve"> 页</w:t>
                          </w:r>
                          <w:r>
                            <w:rPr>
                              <w:rFonts w:hint="eastAsia"/>
                              <w:lang w:eastAsia="zh-CN"/>
                            </w:rPr>
                            <w:t xml:space="preserve"> 共</w:t>
                          </w:r>
                          <w:r>
                            <w:rPr>
                              <w:rFonts w:hint="eastAsia"/>
                              <w:lang w:val="en-US" w:eastAsia="zh-CN"/>
                            </w:rPr>
                            <w:t>22</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t xml:space="preserve">第 </w:t>
                    </w:r>
                    <w:r>
                      <w:fldChar w:fldCharType="begin"/>
                    </w:r>
                    <w:r>
                      <w:instrText xml:space="preserve"> PAGE  \* MERGEFORMAT </w:instrText>
                    </w:r>
                    <w:r>
                      <w:fldChar w:fldCharType="separate"/>
                    </w:r>
                    <w:r>
                      <w:t>3</w:t>
                    </w:r>
                    <w:r>
                      <w:fldChar w:fldCharType="end"/>
                    </w:r>
                    <w:r>
                      <w:t xml:space="preserve"> 页</w:t>
                    </w:r>
                    <w:r>
                      <w:rPr>
                        <w:rFonts w:hint="eastAsia"/>
                        <w:lang w:eastAsia="zh-CN"/>
                      </w:rPr>
                      <w:t xml:space="preserve"> 共</w:t>
                    </w:r>
                    <w:r>
                      <w:rPr>
                        <w:rFonts w:hint="eastAsia"/>
                        <w:lang w:val="en-US" w:eastAsia="zh-CN"/>
                      </w:rPr>
                      <w:t>22</w:t>
                    </w:r>
                    <w:r>
                      <w:rPr>
                        <w:rFonts w:hint="eastAsia"/>
                        <w:lang w:eastAsia="zh-CN"/>
                      </w:rPr>
                      <w:t xml:space="preserve"> 页</w:t>
                    </w:r>
                  </w:p>
                </w:txbxContent>
              </v:textbox>
            </v:shape>
          </w:pict>
        </mc:Fallback>
      </mc:AlternateContent>
    </w:r>
    <w:r>
      <w:rPr>
        <w:rFonts w:hint="eastAsia" w:ascii="宋体" w:hAnsi="宋体" w:eastAsia="宋体" w:cs="宋体"/>
        <w:lang w:eastAsia="zh-CN"/>
      </w:rPr>
      <w:t>地址：山东省东营市开发区运河路661号世誉建材广场1幢434号</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rPr>
                              <w:rFonts w:hint="eastAsia"/>
                              <w:lang w:val="en-US" w:eastAsia="zh-CN"/>
                            </w:rPr>
                            <w:t>22</w:t>
                          </w:r>
                          <w:r>
                            <w:t xml:space="preserve">页 共 </w:t>
                          </w:r>
                          <w:r>
                            <w:rPr>
                              <w:rFonts w:hint="eastAsia"/>
                              <w:lang w:val="en-US" w:eastAsia="zh-CN"/>
                            </w:rPr>
                            <w:t>22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8480;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r>
                      <w:t xml:space="preserve">第 </w:t>
                    </w:r>
                    <w:r>
                      <w:rPr>
                        <w:rFonts w:hint="eastAsia"/>
                        <w:lang w:val="en-US" w:eastAsia="zh-CN"/>
                      </w:rPr>
                      <w:t>22</w:t>
                    </w:r>
                    <w:r>
                      <w:t xml:space="preserve">页 共 </w:t>
                    </w:r>
                    <w:r>
                      <w:rPr>
                        <w:rFonts w:hint="eastAsia"/>
                        <w:lang w:val="en-US" w:eastAsia="zh-CN"/>
                      </w:rPr>
                      <w:t>22</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420" w:firstLineChars="200"/>
    </w:pPr>
    <w:r>
      <w:rPr>
        <w:rFonts w:hint="eastAsia" w:asciiTheme="minorEastAsia" w:hAnsiTheme="minorEastAsia" w:eastAsiaTheme="minorEastAsia" w:cstheme="minorEastAsia"/>
        <w:b w:val="0"/>
        <w:bCs w:val="0"/>
        <w:sz w:val="21"/>
        <w:szCs w:val="21"/>
        <w:lang w:val="en-US" w:eastAsia="zh-CN"/>
      </w:rPr>
      <w:t>山东泓启环保技术服务有限公司</w:t>
    </w:r>
    <w:r>
      <w:drawing>
        <wp:anchor distT="0" distB="0" distL="114300" distR="114300" simplePos="0" relativeHeight="251663360" behindDoc="0" locked="0" layoutInCell="1" allowOverlap="1">
          <wp:simplePos x="0" y="0"/>
          <wp:positionH relativeFrom="column">
            <wp:posOffset>27940</wp:posOffset>
          </wp:positionH>
          <wp:positionV relativeFrom="paragraph">
            <wp:posOffset>-5715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报告编号：（E检）字（2023）0011号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2336" behindDoc="0" locked="0" layoutInCell="1" allowOverlap="1">
          <wp:simplePos x="0" y="0"/>
          <wp:positionH relativeFrom="column">
            <wp:posOffset>27940</wp:posOffset>
          </wp:positionH>
          <wp:positionV relativeFrom="paragraph">
            <wp:posOffset>-5715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报告编号：（E检）字（2023）0011号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4384"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报告编号：（E检）字（2023）0011号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asciiTheme="minorEastAsia" w:hAnsiTheme="minorEastAsia"/>
        <w:lang w:val="en-US" w:eastAsia="zh-CN"/>
      </w:rPr>
    </w:pPr>
    <w:r>
      <w:drawing>
        <wp:anchor distT="0" distB="0" distL="114300" distR="114300" simplePos="0" relativeHeight="251669504" behindDoc="0" locked="0" layoutInCell="1" allowOverlap="1">
          <wp:simplePos x="0" y="0"/>
          <wp:positionH relativeFrom="column">
            <wp:posOffset>203200</wp:posOffset>
          </wp:positionH>
          <wp:positionV relativeFrom="paragraph">
            <wp:posOffset>111760</wp:posOffset>
          </wp:positionV>
          <wp:extent cx="209550" cy="200660"/>
          <wp:effectExtent l="0" t="0" r="0" b="889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rPr>
      <w:t xml:space="preserve"> </w:t>
    </w:r>
    <w:r>
      <w:rPr>
        <w:rFonts w:hint="eastAsia" w:asciiTheme="minorEastAsia" w:hAnsiTheme="minorEastAsia"/>
        <w:lang w:val="en-US" w:eastAsia="zh-CN"/>
      </w:rPr>
      <w:t xml:space="preserve">     </w:t>
    </w:r>
  </w:p>
  <w:p>
    <w:pPr>
      <w:pStyle w:val="8"/>
      <w:pBdr>
        <w:bottom w:val="single" w:color="auto" w:sz="4" w:space="1"/>
      </w:pBdr>
      <w:ind w:firstLine="632" w:firstLineChars="300"/>
      <w:jc w:val="both"/>
      <w:rPr>
        <w:rFonts w:hint="eastAsia"/>
        <w:b/>
        <w:bCs/>
        <w:sz w:val="21"/>
        <w:szCs w:val="21"/>
        <w:lang w:val="en-US" w:eastAsia="zh-CN"/>
      </w:rPr>
    </w:pPr>
    <w:r>
      <w:rPr>
        <w:rFonts w:hint="eastAsia"/>
        <w:b/>
        <w:bCs/>
        <w:sz w:val="21"/>
        <w:szCs w:val="21"/>
        <w:lang w:val="en-US" w:eastAsia="zh-CN"/>
      </w:rPr>
      <w:t>山东泓启环保技术服务有限公司</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b/>
        <w:bCs/>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报告编号：（E检）字（2023）0011号</w:t>
    </w:r>
    <w:r>
      <w:rPr>
        <w:rFonts w:hint="eastAsia"/>
        <w:b/>
        <w:bCs/>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54F302A"/>
    <w:multiLevelType w:val="multilevel"/>
    <w:tmpl w:val="454F30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5D7683A"/>
    <w:multiLevelType w:val="multilevel"/>
    <w:tmpl w:val="55D7683A"/>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3B7162"/>
    <w:rsid w:val="02626F54"/>
    <w:rsid w:val="02FA438B"/>
    <w:rsid w:val="037665D5"/>
    <w:rsid w:val="04336046"/>
    <w:rsid w:val="047733B5"/>
    <w:rsid w:val="054B35C3"/>
    <w:rsid w:val="059135A8"/>
    <w:rsid w:val="08F31FA8"/>
    <w:rsid w:val="09842C00"/>
    <w:rsid w:val="0BE85E43"/>
    <w:rsid w:val="0C245EB6"/>
    <w:rsid w:val="0CD93263"/>
    <w:rsid w:val="0DB5782C"/>
    <w:rsid w:val="0F8B2F3A"/>
    <w:rsid w:val="122338FE"/>
    <w:rsid w:val="12F86B39"/>
    <w:rsid w:val="131A4BDF"/>
    <w:rsid w:val="13623FB2"/>
    <w:rsid w:val="147B7573"/>
    <w:rsid w:val="14CD5DA3"/>
    <w:rsid w:val="150177FB"/>
    <w:rsid w:val="15B12FCF"/>
    <w:rsid w:val="168C249A"/>
    <w:rsid w:val="17035AAC"/>
    <w:rsid w:val="191F64A1"/>
    <w:rsid w:val="19FB2A6A"/>
    <w:rsid w:val="1ABD5F72"/>
    <w:rsid w:val="1B862808"/>
    <w:rsid w:val="1C0227D6"/>
    <w:rsid w:val="1C033E58"/>
    <w:rsid w:val="1C99656B"/>
    <w:rsid w:val="1D036806"/>
    <w:rsid w:val="1E087D89"/>
    <w:rsid w:val="1FAF4A23"/>
    <w:rsid w:val="233174FD"/>
    <w:rsid w:val="240D3AC6"/>
    <w:rsid w:val="24990502"/>
    <w:rsid w:val="24BB5C18"/>
    <w:rsid w:val="25973F8F"/>
    <w:rsid w:val="27160EE4"/>
    <w:rsid w:val="27E47234"/>
    <w:rsid w:val="2BE041B6"/>
    <w:rsid w:val="2C5A5D16"/>
    <w:rsid w:val="2D771E67"/>
    <w:rsid w:val="327F64D7"/>
    <w:rsid w:val="32AA7D8C"/>
    <w:rsid w:val="32CE2FBA"/>
    <w:rsid w:val="35327830"/>
    <w:rsid w:val="36301F89"/>
    <w:rsid w:val="3784633D"/>
    <w:rsid w:val="38C06F01"/>
    <w:rsid w:val="393A4E57"/>
    <w:rsid w:val="398243D2"/>
    <w:rsid w:val="398D772B"/>
    <w:rsid w:val="39D61F15"/>
    <w:rsid w:val="39FE23D7"/>
    <w:rsid w:val="3A10210A"/>
    <w:rsid w:val="3A257964"/>
    <w:rsid w:val="3A706705"/>
    <w:rsid w:val="3A777A93"/>
    <w:rsid w:val="3BB85130"/>
    <w:rsid w:val="3DBC7C7D"/>
    <w:rsid w:val="3E817133"/>
    <w:rsid w:val="3FEC4A80"/>
    <w:rsid w:val="408178C1"/>
    <w:rsid w:val="419E1DAA"/>
    <w:rsid w:val="43D23F8D"/>
    <w:rsid w:val="44114AB5"/>
    <w:rsid w:val="445A2900"/>
    <w:rsid w:val="476F66C2"/>
    <w:rsid w:val="4B6B0F4E"/>
    <w:rsid w:val="4C52210E"/>
    <w:rsid w:val="4D467EC5"/>
    <w:rsid w:val="4D804F96"/>
    <w:rsid w:val="4E0839BF"/>
    <w:rsid w:val="4F4641AC"/>
    <w:rsid w:val="507E34D2"/>
    <w:rsid w:val="51703763"/>
    <w:rsid w:val="518A5EA7"/>
    <w:rsid w:val="51E56D41"/>
    <w:rsid w:val="54C45476"/>
    <w:rsid w:val="54ED0C26"/>
    <w:rsid w:val="550E1E22"/>
    <w:rsid w:val="551636DF"/>
    <w:rsid w:val="554A7E27"/>
    <w:rsid w:val="55BF6A67"/>
    <w:rsid w:val="561F12B3"/>
    <w:rsid w:val="56576C9F"/>
    <w:rsid w:val="571E5A0F"/>
    <w:rsid w:val="57573A13"/>
    <w:rsid w:val="57FB7AFE"/>
    <w:rsid w:val="587149F3"/>
    <w:rsid w:val="59BA4563"/>
    <w:rsid w:val="5B0B62AA"/>
    <w:rsid w:val="5D3F048D"/>
    <w:rsid w:val="5D4D6706"/>
    <w:rsid w:val="5EF638A3"/>
    <w:rsid w:val="5F025C16"/>
    <w:rsid w:val="5FAB005C"/>
    <w:rsid w:val="5FDE21DF"/>
    <w:rsid w:val="5FFF5CB2"/>
    <w:rsid w:val="61686204"/>
    <w:rsid w:val="62966DA1"/>
    <w:rsid w:val="633C4BB3"/>
    <w:rsid w:val="63584057"/>
    <w:rsid w:val="640F0BB9"/>
    <w:rsid w:val="64202DC6"/>
    <w:rsid w:val="644D7933"/>
    <w:rsid w:val="65491EA9"/>
    <w:rsid w:val="66884C53"/>
    <w:rsid w:val="66F347C2"/>
    <w:rsid w:val="681A18DB"/>
    <w:rsid w:val="68925915"/>
    <w:rsid w:val="689773CF"/>
    <w:rsid w:val="69B144C0"/>
    <w:rsid w:val="6ACB15B2"/>
    <w:rsid w:val="6B741C4A"/>
    <w:rsid w:val="6B9B2D32"/>
    <w:rsid w:val="6F710981"/>
    <w:rsid w:val="7003534A"/>
    <w:rsid w:val="719A3A8C"/>
    <w:rsid w:val="72192C03"/>
    <w:rsid w:val="72FA0C86"/>
    <w:rsid w:val="747C0B05"/>
    <w:rsid w:val="74936C9D"/>
    <w:rsid w:val="74D177C5"/>
    <w:rsid w:val="75253C60"/>
    <w:rsid w:val="75504B8E"/>
    <w:rsid w:val="758030BA"/>
    <w:rsid w:val="75DC0B17"/>
    <w:rsid w:val="75EA5667"/>
    <w:rsid w:val="762229CE"/>
    <w:rsid w:val="76A553AD"/>
    <w:rsid w:val="78886D34"/>
    <w:rsid w:val="790E0FE8"/>
    <w:rsid w:val="7ADD3367"/>
    <w:rsid w:val="7C5036C5"/>
    <w:rsid w:val="7DDB3462"/>
    <w:rsid w:val="7E7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20" w:lineRule="exact"/>
    </w:pPr>
    <w:rPr>
      <w:rFonts w:ascii="Calibri" w:hAnsi="Calibri" w:eastAsia="宋体" w:cs="Times New Roman"/>
      <w:kern w:val="2"/>
      <w:szCs w:val="24"/>
    </w:rPr>
  </w:style>
  <w:style w:type="paragraph" w:styleId="6">
    <w:name w:val="toc 3"/>
    <w:basedOn w:val="1"/>
    <w:next w:val="1"/>
    <w:unhideWhenUsed/>
    <w:qFormat/>
    <w:uiPriority w:val="39"/>
    <w:pPr>
      <w:ind w:left="420"/>
      <w:jc w:val="left"/>
    </w:pPr>
    <w:rPr>
      <w:iCs/>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39"/>
    <w:pPr>
      <w:widowControl/>
      <w:spacing w:line="276" w:lineRule="auto"/>
      <w:ind w:left="220"/>
      <w:jc w:val="left"/>
    </w:pPr>
    <w:rPr>
      <w:sz w:val="22"/>
    </w:rPr>
  </w:style>
  <w:style w:type="paragraph" w:styleId="11">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表格文字"/>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
    <w:name w:val="List Paragraph1"/>
    <w:basedOn w:val="1"/>
    <w:qFormat/>
    <w:uiPriority w:val="99"/>
    <w:pPr>
      <w:ind w:firstLine="420" w:firstLineChars="200"/>
    </w:pPr>
    <w:rPr>
      <w:rFonts w:ascii="Times New Roman" w:hAnsi="Times New Roman" w:eastAsia="宋体" w:cs="Times New Roman"/>
      <w:szCs w:val="20"/>
    </w:rPr>
  </w:style>
  <w:style w:type="paragraph" w:customStyle="1" w:styleId="18">
    <w:name w:val="列出段落3"/>
    <w:basedOn w:val="1"/>
    <w:qFormat/>
    <w:uiPriority w:val="34"/>
    <w:pPr>
      <w:ind w:firstLine="420"/>
    </w:pPr>
    <w:rPr>
      <w:rFonts w:ascii="Calibri" w:hAnsi="Calibri" w:eastAsia="宋体" w:cs="黑体"/>
    </w:rPr>
  </w:style>
  <w:style w:type="character" w:customStyle="1" w:styleId="19">
    <w:name w:val="font41"/>
    <w:basedOn w:val="14"/>
    <w:qFormat/>
    <w:uiPriority w:val="0"/>
    <w:rPr>
      <w:rFonts w:hint="eastAsia" w:ascii="宋体" w:hAnsi="宋体" w:eastAsia="宋体" w:cs="宋体"/>
      <w:color w:val="000000"/>
      <w:sz w:val="21"/>
      <w:szCs w:val="21"/>
      <w:u w:val="none"/>
    </w:rPr>
  </w:style>
  <w:style w:type="paragraph" w:styleId="20">
    <w:name w:val="List Paragraph"/>
    <w:basedOn w:val="1"/>
    <w:qFormat/>
    <w:uiPriority w:val="34"/>
    <w:pPr>
      <w:ind w:firstLine="420" w:firstLineChars="200"/>
    </w:pPr>
  </w:style>
  <w:style w:type="paragraph" w:customStyle="1" w:styleId="21">
    <w:name w:val="para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图表内容"/>
    <w:basedOn w:val="1"/>
    <w:qFormat/>
    <w:uiPriority w:val="0"/>
    <w:pPr>
      <w:widowControl/>
      <w:jc w:val="center"/>
    </w:pPr>
    <w:rPr>
      <w:rFonts w:ascii="Times New Roman" w:hAnsi="Times New Roman" w:eastAsia="宋体" w:cs="Times New Roman"/>
      <w:kern w:val="0"/>
      <w:sz w:val="18"/>
      <w:szCs w:val="20"/>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表格"/>
    <w:basedOn w:val="1"/>
    <w:qFormat/>
    <w:uiPriority w:val="0"/>
    <w:pPr>
      <w:spacing w:line="320" w:lineRule="exact"/>
      <w:ind w:firstLine="0" w:firstLineChars="0"/>
      <w:jc w:val="center"/>
    </w:pPr>
    <w:rPr>
      <w:sz w:val="21"/>
    </w:rPr>
  </w:style>
  <w:style w:type="paragraph" w:customStyle="1" w:styleId="26">
    <w:name w:val="图表内容_0"/>
    <w:basedOn w:val="27"/>
    <w:qFormat/>
    <w:uiPriority w:val="99"/>
    <w:pPr>
      <w:widowControl/>
      <w:ind w:firstLine="0" w:firstLineChars="0"/>
      <w:jc w:val="center"/>
    </w:pPr>
    <w:rPr>
      <w:kern w:val="0"/>
      <w:sz w:val="20"/>
      <w:szCs w:val="20"/>
    </w:rPr>
  </w:style>
  <w:style w:type="paragraph" w:customStyle="1" w:styleId="27">
    <w:name w:val="Normal_0"/>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8">
    <w:name w:val="Normal_1"/>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9698</Words>
  <Characters>11679</Characters>
  <Lines>0</Lines>
  <Paragraphs>0</Paragraphs>
  <TotalTime>0</TotalTime>
  <ScaleCrop>false</ScaleCrop>
  <LinksUpToDate>false</LinksUpToDate>
  <CharactersWithSpaces>14107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Administrator</cp:lastModifiedBy>
  <dcterms:modified xsi:type="dcterms:W3CDTF">2023-04-04T03:01:28Z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C38E4A98CBFF40009294A4406DB84098</vt:lpwstr>
  </property>
</Properties>
</file>